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28" w:type="dxa"/>
        </w:tblCellMar>
        <w:tblLook w:val="04A0" w:firstRow="1" w:lastRow="0" w:firstColumn="1" w:lastColumn="0" w:noHBand="0" w:noVBand="1"/>
      </w:tblPr>
      <w:tblGrid>
        <w:gridCol w:w="2441"/>
        <w:gridCol w:w="7197"/>
      </w:tblGrid>
      <w:tr w:rsidR="00F76281" w:rsidRPr="00100264" w:rsidTr="00100264">
        <w:tc>
          <w:tcPr>
            <w:tcW w:w="2477" w:type="dxa"/>
          </w:tcPr>
          <w:p w:rsidR="00F76281" w:rsidRPr="00100264" w:rsidRDefault="00F76281" w:rsidP="00194D80">
            <w:pPr>
              <w:pStyle w:val="Kopfzeile"/>
              <w:tabs>
                <w:tab w:val="clear" w:pos="4536"/>
                <w:tab w:val="clear" w:pos="9072"/>
              </w:tabs>
              <w:spacing w:line="240" w:lineRule="exact"/>
              <w:rPr>
                <w:b/>
                <w:sz w:val="24"/>
                <w:szCs w:val="24"/>
              </w:rPr>
            </w:pPr>
            <w:r w:rsidRPr="00100264">
              <w:rPr>
                <w:b/>
                <w:sz w:val="24"/>
                <w:szCs w:val="24"/>
              </w:rPr>
              <w:t>Anlage zum Antrag</w:t>
            </w:r>
            <w:r w:rsidRPr="00100264">
              <w:rPr>
                <w:rStyle w:val="Funotenzeichen"/>
                <w:b/>
                <w:sz w:val="24"/>
                <w:szCs w:val="24"/>
              </w:rPr>
              <w:footnoteReference w:id="1"/>
            </w:r>
            <w:r w:rsidRPr="00100264">
              <w:rPr>
                <w:b/>
                <w:sz w:val="24"/>
                <w:szCs w:val="24"/>
              </w:rPr>
              <w:t xml:space="preserve"> der</w:t>
            </w:r>
          </w:p>
        </w:tc>
        <w:tc>
          <w:tcPr>
            <w:tcW w:w="7304" w:type="dxa"/>
          </w:tcPr>
          <w:p w:rsidR="00F76281" w:rsidRPr="00100264" w:rsidRDefault="00F76281" w:rsidP="00194D80">
            <w:pPr>
              <w:pStyle w:val="Kopfzeile"/>
              <w:tabs>
                <w:tab w:val="clear" w:pos="4536"/>
                <w:tab w:val="clear" w:pos="9072"/>
              </w:tabs>
              <w:spacing w:line="240" w:lineRule="exact"/>
              <w:rPr>
                <w:sz w:val="24"/>
                <w:szCs w:val="24"/>
              </w:rPr>
            </w:pPr>
            <w:r w:rsidRPr="00100264">
              <w:rPr>
                <w:b/>
                <w:sz w:val="24"/>
                <w:szCs w:val="24"/>
              </w:rPr>
              <w:fldChar w:fldCharType="begin">
                <w:ffData>
                  <w:name w:val="Text37"/>
                  <w:enabled/>
                  <w:calcOnExit w:val="0"/>
                  <w:textInput/>
                </w:ffData>
              </w:fldChar>
            </w:r>
            <w:r w:rsidRPr="00100264">
              <w:rPr>
                <w:b/>
                <w:sz w:val="24"/>
                <w:szCs w:val="24"/>
              </w:rPr>
              <w:instrText xml:space="preserve"> FORMTEXT </w:instrText>
            </w:r>
            <w:r w:rsidRPr="00100264">
              <w:rPr>
                <w:b/>
                <w:sz w:val="24"/>
                <w:szCs w:val="24"/>
              </w:rPr>
            </w:r>
            <w:r w:rsidRPr="00100264">
              <w:rPr>
                <w:b/>
                <w:sz w:val="24"/>
                <w:szCs w:val="24"/>
              </w:rPr>
              <w:fldChar w:fldCharType="separate"/>
            </w:r>
            <w:r w:rsidRPr="00100264">
              <w:rPr>
                <w:b/>
                <w:noProof/>
                <w:sz w:val="24"/>
                <w:szCs w:val="24"/>
              </w:rPr>
              <w:t> </w:t>
            </w:r>
            <w:r w:rsidRPr="00100264">
              <w:rPr>
                <w:b/>
                <w:noProof/>
                <w:sz w:val="24"/>
                <w:szCs w:val="24"/>
              </w:rPr>
              <w:t> </w:t>
            </w:r>
            <w:r w:rsidRPr="00100264">
              <w:rPr>
                <w:b/>
                <w:noProof/>
                <w:sz w:val="24"/>
                <w:szCs w:val="24"/>
              </w:rPr>
              <w:t> </w:t>
            </w:r>
            <w:r w:rsidRPr="00100264">
              <w:rPr>
                <w:b/>
                <w:noProof/>
                <w:sz w:val="24"/>
                <w:szCs w:val="24"/>
              </w:rPr>
              <w:t> </w:t>
            </w:r>
            <w:r w:rsidRPr="00100264">
              <w:rPr>
                <w:b/>
                <w:noProof/>
                <w:sz w:val="24"/>
                <w:szCs w:val="24"/>
              </w:rPr>
              <w:t> </w:t>
            </w:r>
            <w:r w:rsidRPr="00100264">
              <w:rPr>
                <w:b/>
                <w:sz w:val="24"/>
                <w:szCs w:val="24"/>
              </w:rPr>
              <w:fldChar w:fldCharType="end"/>
            </w:r>
          </w:p>
        </w:tc>
      </w:tr>
      <w:tr w:rsidR="00F76281" w:rsidRPr="00100264" w:rsidTr="00100264">
        <w:tc>
          <w:tcPr>
            <w:tcW w:w="2477" w:type="dxa"/>
          </w:tcPr>
          <w:p w:rsidR="00F76281" w:rsidRPr="00100264" w:rsidRDefault="00551034" w:rsidP="00194D80">
            <w:pPr>
              <w:pStyle w:val="Kopfzeile"/>
              <w:tabs>
                <w:tab w:val="clear" w:pos="4536"/>
                <w:tab w:val="clear" w:pos="9072"/>
              </w:tabs>
              <w:spacing w:line="240" w:lineRule="exact"/>
              <w:rPr>
                <w:sz w:val="24"/>
                <w:szCs w:val="24"/>
              </w:rPr>
            </w:pPr>
            <w:r w:rsidRPr="00100264">
              <w:rPr>
                <w:sz w:val="24"/>
                <w:szCs w:val="24"/>
              </w:rPr>
              <w:t>vom:</w:t>
            </w:r>
          </w:p>
        </w:tc>
        <w:tc>
          <w:tcPr>
            <w:tcW w:w="7304" w:type="dxa"/>
          </w:tcPr>
          <w:p w:rsidR="00F76281" w:rsidRPr="00100264" w:rsidRDefault="00F76281" w:rsidP="00194D80">
            <w:pPr>
              <w:pStyle w:val="Kopfzeile"/>
              <w:tabs>
                <w:tab w:val="clear" w:pos="4536"/>
                <w:tab w:val="clear" w:pos="9072"/>
              </w:tabs>
              <w:spacing w:line="240" w:lineRule="exact"/>
              <w:rPr>
                <w:b/>
                <w:sz w:val="24"/>
                <w:szCs w:val="24"/>
              </w:rPr>
            </w:pPr>
            <w:r w:rsidRPr="00100264">
              <w:rPr>
                <w:sz w:val="24"/>
                <w:szCs w:val="24"/>
              </w:rPr>
              <w:fldChar w:fldCharType="begin">
                <w:ffData>
                  <w:name w:val="Text37"/>
                  <w:enabled/>
                  <w:calcOnExit w:val="0"/>
                  <w:textInput/>
                </w:ffData>
              </w:fldChar>
            </w:r>
            <w:r w:rsidRPr="00100264">
              <w:rPr>
                <w:sz w:val="24"/>
                <w:szCs w:val="24"/>
              </w:rPr>
              <w:instrText xml:space="preserve"> FORMTEXT </w:instrText>
            </w:r>
            <w:r w:rsidRPr="00100264">
              <w:rPr>
                <w:sz w:val="24"/>
                <w:szCs w:val="24"/>
              </w:rPr>
            </w:r>
            <w:r w:rsidRPr="00100264">
              <w:rPr>
                <w:sz w:val="24"/>
                <w:szCs w:val="24"/>
              </w:rPr>
              <w:fldChar w:fldCharType="separate"/>
            </w:r>
            <w:r w:rsidRPr="00100264">
              <w:rPr>
                <w:noProof/>
                <w:sz w:val="24"/>
                <w:szCs w:val="24"/>
              </w:rPr>
              <w:t> </w:t>
            </w:r>
            <w:r w:rsidRPr="00100264">
              <w:rPr>
                <w:noProof/>
                <w:sz w:val="24"/>
                <w:szCs w:val="24"/>
              </w:rPr>
              <w:t> </w:t>
            </w:r>
            <w:r w:rsidRPr="00100264">
              <w:rPr>
                <w:noProof/>
                <w:sz w:val="24"/>
                <w:szCs w:val="24"/>
              </w:rPr>
              <w:t> </w:t>
            </w:r>
            <w:r w:rsidRPr="00100264">
              <w:rPr>
                <w:noProof/>
                <w:sz w:val="24"/>
                <w:szCs w:val="24"/>
              </w:rPr>
              <w:t> </w:t>
            </w:r>
            <w:r w:rsidRPr="00100264">
              <w:rPr>
                <w:noProof/>
                <w:sz w:val="24"/>
                <w:szCs w:val="24"/>
              </w:rPr>
              <w:t> </w:t>
            </w:r>
            <w:r w:rsidRPr="00100264">
              <w:rPr>
                <w:sz w:val="24"/>
                <w:szCs w:val="24"/>
              </w:rPr>
              <w:fldChar w:fldCharType="end"/>
            </w:r>
          </w:p>
        </w:tc>
      </w:tr>
      <w:tr w:rsidR="00F76281" w:rsidRPr="00100264" w:rsidTr="00100264">
        <w:tc>
          <w:tcPr>
            <w:tcW w:w="2477" w:type="dxa"/>
          </w:tcPr>
          <w:p w:rsidR="00F76281" w:rsidRPr="00100264" w:rsidRDefault="00F76281" w:rsidP="00100264">
            <w:pPr>
              <w:rPr>
                <w:sz w:val="24"/>
                <w:szCs w:val="24"/>
              </w:rPr>
            </w:pPr>
            <w:r w:rsidRPr="00100264">
              <w:rPr>
                <w:sz w:val="24"/>
                <w:szCs w:val="24"/>
              </w:rPr>
              <w:t>Verfahrensnummer:</w:t>
            </w:r>
          </w:p>
        </w:tc>
        <w:tc>
          <w:tcPr>
            <w:tcW w:w="7304" w:type="dxa"/>
          </w:tcPr>
          <w:p w:rsidR="00F76281" w:rsidRPr="00100264" w:rsidRDefault="00F76281" w:rsidP="000D2596">
            <w:pPr>
              <w:pStyle w:val="FVVNR"/>
              <w:spacing w:before="0" w:after="0"/>
              <w:rPr>
                <w:sz w:val="24"/>
                <w:szCs w:val="24"/>
              </w:rPr>
            </w:pPr>
            <w:r w:rsidRPr="00100264">
              <w:rPr>
                <w:sz w:val="24"/>
                <w:szCs w:val="24"/>
              </w:rPr>
              <w:fldChar w:fldCharType="begin">
                <w:ffData>
                  <w:name w:val="Verfahrensnummer"/>
                  <w:enabled/>
                  <w:calcOnExit/>
                  <w:textInput/>
                </w:ffData>
              </w:fldChar>
            </w:r>
            <w:r w:rsidRPr="00100264">
              <w:rPr>
                <w:sz w:val="24"/>
                <w:szCs w:val="24"/>
              </w:rPr>
              <w:instrText xml:space="preserve"> FORMTEXT </w:instrText>
            </w:r>
            <w:r w:rsidRPr="00100264">
              <w:rPr>
                <w:sz w:val="24"/>
                <w:szCs w:val="24"/>
              </w:rPr>
            </w:r>
            <w:r w:rsidRPr="00100264">
              <w:rPr>
                <w:sz w:val="24"/>
                <w:szCs w:val="24"/>
              </w:rPr>
              <w:fldChar w:fldCharType="separate"/>
            </w:r>
            <w:bookmarkStart w:id="0" w:name="_GoBack"/>
            <w:r w:rsidR="000D2596">
              <w:rPr>
                <w:sz w:val="24"/>
                <w:szCs w:val="24"/>
              </w:rPr>
              <w:t> </w:t>
            </w:r>
            <w:r w:rsidR="000D2596">
              <w:rPr>
                <w:sz w:val="24"/>
                <w:szCs w:val="24"/>
              </w:rPr>
              <w:t> </w:t>
            </w:r>
            <w:r w:rsidR="000D2596">
              <w:rPr>
                <w:sz w:val="24"/>
                <w:szCs w:val="24"/>
              </w:rPr>
              <w:t> </w:t>
            </w:r>
            <w:r w:rsidR="000D2596">
              <w:rPr>
                <w:sz w:val="24"/>
                <w:szCs w:val="24"/>
              </w:rPr>
              <w:t> </w:t>
            </w:r>
            <w:r w:rsidR="000D2596">
              <w:rPr>
                <w:sz w:val="24"/>
                <w:szCs w:val="24"/>
              </w:rPr>
              <w:t> </w:t>
            </w:r>
            <w:bookmarkEnd w:id="0"/>
            <w:r w:rsidRPr="00100264">
              <w:rPr>
                <w:sz w:val="24"/>
                <w:szCs w:val="24"/>
              </w:rPr>
              <w:fldChar w:fldCharType="end"/>
            </w:r>
          </w:p>
        </w:tc>
      </w:tr>
    </w:tbl>
    <w:p w:rsidR="00BD2780" w:rsidRPr="00D471B7" w:rsidRDefault="00AD106A" w:rsidP="00291772">
      <w:pPr>
        <w:pStyle w:val="Kopfzeile"/>
        <w:tabs>
          <w:tab w:val="clear" w:pos="4536"/>
          <w:tab w:val="clear" w:pos="9072"/>
          <w:tab w:val="left" w:pos="365"/>
        </w:tabs>
        <w:spacing w:before="360" w:after="240"/>
        <w:rPr>
          <w:b/>
          <w:szCs w:val="22"/>
        </w:rPr>
      </w:pPr>
      <w:r w:rsidRPr="00100264">
        <w:rPr>
          <w:b/>
          <w:szCs w:val="22"/>
        </w:rPr>
        <w:t>Validierungs-</w:t>
      </w:r>
      <w:r w:rsidR="00FE7D93" w:rsidRPr="00100264">
        <w:rPr>
          <w:b/>
          <w:szCs w:val="22"/>
        </w:rPr>
        <w:t>/</w:t>
      </w:r>
      <w:r w:rsidRPr="00100264">
        <w:rPr>
          <w:b/>
          <w:szCs w:val="22"/>
        </w:rPr>
        <w:t>Verifizierung</w:t>
      </w:r>
      <w:r w:rsidR="00914383" w:rsidRPr="00100264">
        <w:rPr>
          <w:b/>
          <w:szCs w:val="22"/>
        </w:rPr>
        <w:t>s</w:t>
      </w:r>
      <w:r w:rsidRPr="00100264">
        <w:rPr>
          <w:b/>
          <w:szCs w:val="22"/>
        </w:rPr>
        <w:t>stellen Treibhausgase</w:t>
      </w:r>
      <w:r w:rsidR="005F2107" w:rsidRPr="00100264">
        <w:rPr>
          <w:b/>
          <w:szCs w:val="22"/>
        </w:rPr>
        <w:t xml:space="preserve"> </w:t>
      </w:r>
      <w:r w:rsidR="00A414CB" w:rsidRPr="00100264">
        <w:rPr>
          <w:b/>
          <w:szCs w:val="22"/>
        </w:rPr>
        <w:t>DIN EN ISO</w:t>
      </w:r>
      <w:r w:rsidR="00FE7D93" w:rsidRPr="00100264">
        <w:rPr>
          <w:b/>
          <w:szCs w:val="22"/>
        </w:rPr>
        <w:t>/IEC</w:t>
      </w:r>
      <w:r w:rsidR="00A414CB" w:rsidRPr="00100264">
        <w:rPr>
          <w:b/>
          <w:szCs w:val="22"/>
        </w:rPr>
        <w:t xml:space="preserve"> 17029</w:t>
      </w:r>
      <w:r w:rsidR="007B51C6" w:rsidRPr="00100264">
        <w:rPr>
          <w:b/>
          <w:szCs w:val="22"/>
        </w:rPr>
        <w:t>:2020</w:t>
      </w:r>
      <w:r w:rsidR="00A414CB" w:rsidRPr="00100264">
        <w:rPr>
          <w:b/>
          <w:szCs w:val="22"/>
        </w:rPr>
        <w:t xml:space="preserve"> </w:t>
      </w:r>
      <w:r w:rsidR="00FE7D93" w:rsidRPr="00100264">
        <w:rPr>
          <w:b/>
          <w:szCs w:val="22"/>
        </w:rPr>
        <w:t xml:space="preserve">mit </w:t>
      </w:r>
      <w:r w:rsidR="005F2107" w:rsidRPr="00100264">
        <w:rPr>
          <w:b/>
          <w:szCs w:val="22"/>
        </w:rPr>
        <w:t>DIN EN ISO 14065</w:t>
      </w:r>
      <w:r w:rsidR="007B51C6" w:rsidRPr="00100264">
        <w:rPr>
          <w:b/>
          <w:szCs w:val="22"/>
        </w:rPr>
        <w:t>:2022</w:t>
      </w:r>
      <w:r w:rsidR="00A414CB">
        <w:rPr>
          <w:b/>
          <w:szCs w:val="22"/>
        </w:rPr>
        <w:t xml:space="preserve"> </w:t>
      </w:r>
      <w:r w:rsidR="00275C5A">
        <w:rPr>
          <w:b/>
          <w:szCs w:val="22"/>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5"/>
        <w:gridCol w:w="1211"/>
        <w:gridCol w:w="426"/>
        <w:gridCol w:w="7654"/>
      </w:tblGrid>
      <w:tr w:rsidR="0080003B" w:rsidRPr="001A751E" w:rsidTr="00291772">
        <w:trPr>
          <w:cantSplit/>
          <w:tblHeader/>
        </w:trPr>
        <w:tc>
          <w:tcPr>
            <w:tcW w:w="9776" w:type="dxa"/>
            <w:gridSpan w:val="4"/>
            <w:tcBorders>
              <w:bottom w:val="double" w:sz="4" w:space="0" w:color="auto"/>
            </w:tcBorders>
            <w:shd w:val="clear" w:color="auto" w:fill="FFFFFF" w:themeFill="background1"/>
            <w:vAlign w:val="center"/>
          </w:tcPr>
          <w:p w:rsidR="00502AE9" w:rsidRPr="00100264" w:rsidRDefault="0080003B" w:rsidP="00502AE9">
            <w:pPr>
              <w:pStyle w:val="Kopfzeile"/>
              <w:tabs>
                <w:tab w:val="clear" w:pos="4536"/>
                <w:tab w:val="clear" w:pos="9072"/>
              </w:tabs>
              <w:overflowPunct w:val="0"/>
              <w:autoSpaceDE w:val="0"/>
              <w:autoSpaceDN w:val="0"/>
              <w:adjustRightInd w:val="0"/>
              <w:ind w:left="397" w:hanging="397"/>
              <w:textAlignment w:val="baseline"/>
              <w:rPr>
                <w:b/>
                <w:szCs w:val="22"/>
              </w:rPr>
            </w:pPr>
            <w:r w:rsidRPr="001A751E">
              <w:fldChar w:fldCharType="begin">
                <w:ffData>
                  <w:name w:val=""/>
                  <w:enabled/>
                  <w:calcOnExit w:val="0"/>
                  <w:checkBox>
                    <w:sizeAuto/>
                    <w:default w:val="0"/>
                    <w:checked w:val="0"/>
                  </w:checkBox>
                </w:ffData>
              </w:fldChar>
            </w:r>
            <w:r w:rsidRPr="001A751E">
              <w:instrText xml:space="preserve"> FORMCHECKBOX </w:instrText>
            </w:r>
            <w:r w:rsidR="000D2596">
              <w:fldChar w:fldCharType="separate"/>
            </w:r>
            <w:r w:rsidRPr="001A751E">
              <w:fldChar w:fldCharType="end"/>
            </w:r>
            <w:r w:rsidR="00291772">
              <w:rPr>
                <w:b/>
                <w:szCs w:val="22"/>
              </w:rPr>
              <w:tab/>
            </w:r>
            <w:r w:rsidRPr="00100264">
              <w:rPr>
                <w:b/>
                <w:szCs w:val="22"/>
              </w:rPr>
              <w:t xml:space="preserve">Verifizierungsstelle </w:t>
            </w:r>
            <w:r w:rsidR="00B13176">
              <w:rPr>
                <w:b/>
                <w:szCs w:val="22"/>
              </w:rPr>
              <w:t xml:space="preserve">zur Prüfung von Emissions- und </w:t>
            </w:r>
            <w:r w:rsidR="00522BF2" w:rsidRPr="00100264">
              <w:rPr>
                <w:b/>
                <w:szCs w:val="22"/>
              </w:rPr>
              <w:t>Zuteilungsdaten</w:t>
            </w:r>
            <w:r w:rsidR="00B13176">
              <w:rPr>
                <w:b/>
                <w:szCs w:val="22"/>
              </w:rPr>
              <w:t>berichten, Datenberichte neuer Marktteilnehmer</w:t>
            </w:r>
            <w:r w:rsidR="007E4FA6">
              <w:rPr>
                <w:b/>
                <w:szCs w:val="22"/>
              </w:rPr>
              <w:t xml:space="preserve"> und Bezugsdatenberichte </w:t>
            </w:r>
            <w:r w:rsidR="00522BF2" w:rsidRPr="00100264">
              <w:rPr>
                <w:b/>
                <w:szCs w:val="22"/>
              </w:rPr>
              <w:t xml:space="preserve">im </w:t>
            </w:r>
            <w:r w:rsidRPr="00100264">
              <w:rPr>
                <w:b/>
                <w:szCs w:val="22"/>
              </w:rPr>
              <w:t>EU–Emissionshandel</w:t>
            </w:r>
            <w:r w:rsidR="00551034" w:rsidRPr="00100264">
              <w:rPr>
                <w:b/>
                <w:szCs w:val="22"/>
              </w:rPr>
              <w:t xml:space="preserve"> </w:t>
            </w:r>
          </w:p>
          <w:p w:rsidR="0080003B" w:rsidRPr="001A751E" w:rsidRDefault="00FE7D93" w:rsidP="001A2289">
            <w:pPr>
              <w:pStyle w:val="Kopfzeile"/>
              <w:tabs>
                <w:tab w:val="clear" w:pos="4536"/>
                <w:tab w:val="clear" w:pos="9072"/>
              </w:tabs>
              <w:overflowPunct w:val="0"/>
              <w:autoSpaceDE w:val="0"/>
              <w:autoSpaceDN w:val="0"/>
              <w:adjustRightInd w:val="0"/>
              <w:ind w:left="397" w:hanging="33"/>
              <w:textAlignment w:val="baseline"/>
            </w:pPr>
            <w:r w:rsidRPr="00100264">
              <w:rPr>
                <w:bCs/>
              </w:rPr>
              <w:t>(D</w:t>
            </w:r>
            <w:r w:rsidR="0080003B" w:rsidRPr="00100264">
              <w:rPr>
                <w:bCs/>
              </w:rPr>
              <w:t>urchführungsverordnungen (EU) 2018/2067</w:t>
            </w:r>
            <w:r w:rsidR="00502AE9" w:rsidRPr="00100264">
              <w:rPr>
                <w:bCs/>
              </w:rPr>
              <w:t>-AV</w:t>
            </w:r>
            <w:r w:rsidR="001A2289">
              <w:rPr>
                <w:bCs/>
              </w:rPr>
              <w:t>V</w:t>
            </w:r>
            <w:r w:rsidR="00502AE9" w:rsidRPr="00100264">
              <w:rPr>
                <w:bCs/>
              </w:rPr>
              <w:t xml:space="preserve">, </w:t>
            </w:r>
            <w:r w:rsidRPr="00100264">
              <w:rPr>
                <w:bCs/>
              </w:rPr>
              <w:t>(EU) 2020/2084</w:t>
            </w:r>
            <w:r w:rsidR="00502AE9" w:rsidRPr="00100264">
              <w:rPr>
                <w:bCs/>
              </w:rPr>
              <w:t xml:space="preserve">, </w:t>
            </w:r>
            <w:r w:rsidR="0080003B" w:rsidRPr="00100264">
              <w:rPr>
                <w:bCs/>
              </w:rPr>
              <w:t>(EU) 2018/2066</w:t>
            </w:r>
            <w:r w:rsidR="00502AE9" w:rsidRPr="00100264">
              <w:rPr>
                <w:bCs/>
              </w:rPr>
              <w:t>–MVO, (EU) 2019/1842; Delegierte Verordnung (EU) 2019/331-FAR)</w:t>
            </w:r>
            <w:r w:rsidR="00502AE9">
              <w:rPr>
                <w:bCs/>
              </w:rPr>
              <w:t xml:space="preserve">   </w:t>
            </w:r>
            <w:r w:rsidR="0080003B">
              <w:rPr>
                <w:bCs/>
              </w:rPr>
              <w:t xml:space="preserve"> </w:t>
            </w:r>
          </w:p>
        </w:tc>
      </w:tr>
      <w:tr w:rsidR="00B73008" w:rsidRPr="007F10CA" w:rsidTr="00100264">
        <w:trPr>
          <w:cantSplit/>
          <w:tblHeader/>
        </w:trPr>
        <w:tc>
          <w:tcPr>
            <w:tcW w:w="1696" w:type="dxa"/>
            <w:gridSpan w:val="2"/>
            <w:tcBorders>
              <w:bottom w:val="double" w:sz="4" w:space="0" w:color="auto"/>
            </w:tcBorders>
            <w:shd w:val="clear" w:color="auto" w:fill="BFBFBF" w:themeFill="background1" w:themeFillShade="BF"/>
            <w:vAlign w:val="center"/>
          </w:tcPr>
          <w:p w:rsidR="00B73008" w:rsidRPr="007F10CA" w:rsidRDefault="00B73008" w:rsidP="00291772">
            <w:pPr>
              <w:pStyle w:val="Kopfzeile"/>
              <w:tabs>
                <w:tab w:val="clear" w:pos="4536"/>
                <w:tab w:val="clear" w:pos="9072"/>
                <w:tab w:val="left" w:pos="365"/>
              </w:tabs>
              <w:overflowPunct w:val="0"/>
              <w:autoSpaceDE w:val="0"/>
              <w:autoSpaceDN w:val="0"/>
              <w:adjustRightInd w:val="0"/>
              <w:textAlignment w:val="baseline"/>
              <w:rPr>
                <w:rFonts w:cs="EUAlbertina"/>
                <w:color w:val="000000"/>
                <w:szCs w:val="22"/>
              </w:rPr>
            </w:pPr>
            <w:r w:rsidRPr="007F10CA">
              <w:rPr>
                <w:rFonts w:cs="EUAlbertina"/>
                <w:color w:val="000000"/>
                <w:szCs w:val="22"/>
              </w:rPr>
              <w:t xml:space="preserve">Tätigkeitsgruppe </w:t>
            </w:r>
          </w:p>
        </w:tc>
        <w:tc>
          <w:tcPr>
            <w:tcW w:w="8080" w:type="dxa"/>
            <w:gridSpan w:val="2"/>
            <w:tcBorders>
              <w:bottom w:val="double" w:sz="4" w:space="0" w:color="auto"/>
            </w:tcBorders>
            <w:shd w:val="clear" w:color="auto" w:fill="BFBFBF" w:themeFill="background1" w:themeFillShade="BF"/>
            <w:vAlign w:val="center"/>
          </w:tcPr>
          <w:p w:rsidR="00B73008" w:rsidRPr="007F10CA" w:rsidRDefault="00F72DAD" w:rsidP="001D63F8">
            <w:pPr>
              <w:pStyle w:val="Kopfzeile"/>
              <w:tabs>
                <w:tab w:val="clear" w:pos="4536"/>
                <w:tab w:val="clear" w:pos="9072"/>
                <w:tab w:val="left" w:pos="365"/>
              </w:tabs>
              <w:rPr>
                <w:szCs w:val="22"/>
              </w:rPr>
            </w:pPr>
            <w:r w:rsidRPr="007F10CA">
              <w:rPr>
                <w:szCs w:val="22"/>
              </w:rPr>
              <w:t xml:space="preserve">Prozesse gemäß Anhang I der Richtlinie 2003/87/EG und anderer Tätigkeiten </w:t>
            </w:r>
            <w:r w:rsidR="001D63F8">
              <w:rPr>
                <w:szCs w:val="22"/>
              </w:rPr>
              <w:br/>
            </w:r>
            <w:r w:rsidRPr="007F10CA">
              <w:rPr>
                <w:szCs w:val="22"/>
              </w:rPr>
              <w:t>gemäß Artikel 10a und Artikel 24 derselben Richtlinie</w:t>
            </w:r>
          </w:p>
        </w:tc>
      </w:tr>
      <w:tr w:rsidR="005F2107" w:rsidRPr="001A751E" w:rsidTr="00100264">
        <w:trPr>
          <w:cantSplit/>
        </w:trPr>
        <w:tc>
          <w:tcPr>
            <w:tcW w:w="485" w:type="dxa"/>
            <w:tcBorders>
              <w:top w:val="double" w:sz="4" w:space="0" w:color="auto"/>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ed w:val="0"/>
                  </w:checkBox>
                </w:ffData>
              </w:fldChar>
            </w:r>
            <w:r w:rsidR="005F2107" w:rsidRPr="001A751E">
              <w:instrText xml:space="preserve"> FORMCHECKBOX </w:instrText>
            </w:r>
            <w:r w:rsidR="000D2596">
              <w:fldChar w:fldCharType="separate"/>
            </w:r>
            <w:r w:rsidRPr="001A751E">
              <w:fldChar w:fldCharType="end"/>
            </w:r>
          </w:p>
        </w:tc>
        <w:tc>
          <w:tcPr>
            <w:tcW w:w="1211" w:type="dxa"/>
            <w:tcBorders>
              <w:top w:val="double" w:sz="4" w:space="0" w:color="auto"/>
              <w:left w:val="nil"/>
            </w:tcBorders>
          </w:tcPr>
          <w:p w:rsidR="005F2107" w:rsidRPr="00352D70" w:rsidRDefault="005F2107"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1a</w:t>
            </w:r>
          </w:p>
        </w:tc>
        <w:tc>
          <w:tcPr>
            <w:tcW w:w="426" w:type="dxa"/>
            <w:tcBorders>
              <w:top w:val="double" w:sz="4" w:space="0" w:color="auto"/>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ed w:val="0"/>
                  </w:checkBox>
                </w:ffData>
              </w:fldChar>
            </w:r>
            <w:r w:rsidR="005F2107" w:rsidRPr="001A751E">
              <w:instrText xml:space="preserve"> FORMCHECKBOX </w:instrText>
            </w:r>
            <w:r w:rsidR="000D2596">
              <w:fldChar w:fldCharType="separate"/>
            </w:r>
            <w:r w:rsidRPr="001A751E">
              <w:fldChar w:fldCharType="end"/>
            </w:r>
          </w:p>
        </w:tc>
        <w:tc>
          <w:tcPr>
            <w:tcW w:w="7654" w:type="dxa"/>
            <w:tcBorders>
              <w:top w:val="double" w:sz="4" w:space="0" w:color="auto"/>
              <w:left w:val="nil"/>
            </w:tcBorders>
          </w:tcPr>
          <w:p w:rsidR="005F2107" w:rsidRPr="00352D70" w:rsidRDefault="005F2107" w:rsidP="001A2289">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 xml:space="preserve">Verbrennung von Brennstoffen in Anlagen, wenn lediglich kommerzielle Standardbrennstoffe </w:t>
            </w:r>
            <w:r w:rsidR="001A2289">
              <w:rPr>
                <w:szCs w:val="22"/>
              </w:rPr>
              <w:t xml:space="preserve">im Sinne der Durchführungsverordnung (EU) 2018/2066 </w:t>
            </w:r>
            <w:r w:rsidRPr="00352D70">
              <w:rPr>
                <w:szCs w:val="22"/>
              </w:rPr>
              <w:t>verwendet werden oder in Anlagen der Kategorie A oder B</w:t>
            </w:r>
            <w:r w:rsidR="001A2289">
              <w:rPr>
                <w:szCs w:val="22"/>
              </w:rPr>
              <w:t>, in denen</w:t>
            </w:r>
            <w:r w:rsidRPr="00352D70">
              <w:rPr>
                <w:szCs w:val="22"/>
              </w:rPr>
              <w:t xml:space="preserve"> Erdgas verwendet wird.</w:t>
            </w:r>
          </w:p>
        </w:tc>
      </w:tr>
      <w:tr w:rsidR="005F2107" w:rsidRPr="001A751E" w:rsidTr="00100264">
        <w:trPr>
          <w:cantSplit/>
        </w:trPr>
        <w:tc>
          <w:tcPr>
            <w:tcW w:w="485" w:type="dxa"/>
            <w:tcBorders>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1211" w:type="dxa"/>
            <w:tcBorders>
              <w:left w:val="nil"/>
            </w:tcBorders>
          </w:tcPr>
          <w:p w:rsidR="005F2107" w:rsidRPr="00352D70" w:rsidRDefault="005F2107"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1b</w:t>
            </w:r>
          </w:p>
        </w:tc>
        <w:tc>
          <w:tcPr>
            <w:tcW w:w="426" w:type="dxa"/>
            <w:tcBorders>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7654" w:type="dxa"/>
            <w:tcBorders>
              <w:left w:val="nil"/>
            </w:tcBorders>
          </w:tcPr>
          <w:p w:rsidR="005F2107" w:rsidRPr="00352D70" w:rsidRDefault="005F2107"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Verbrennung von Brennstoffen in Anlagen, ohne Einschränkungen</w:t>
            </w:r>
          </w:p>
        </w:tc>
      </w:tr>
      <w:tr w:rsidR="005F2107" w:rsidRPr="001A751E" w:rsidTr="00100264">
        <w:trPr>
          <w:cantSplit/>
        </w:trPr>
        <w:tc>
          <w:tcPr>
            <w:tcW w:w="485" w:type="dxa"/>
            <w:tcBorders>
              <w:bottom w:val="single" w:sz="4" w:space="0" w:color="auto"/>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1211" w:type="dxa"/>
            <w:tcBorders>
              <w:left w:val="nil"/>
              <w:bottom w:val="single" w:sz="4" w:space="0" w:color="auto"/>
            </w:tcBorders>
          </w:tcPr>
          <w:p w:rsidR="005F2107" w:rsidRPr="00352D70" w:rsidRDefault="005F2107"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2</w:t>
            </w:r>
          </w:p>
        </w:tc>
        <w:tc>
          <w:tcPr>
            <w:tcW w:w="426" w:type="dxa"/>
            <w:tcBorders>
              <w:bottom w:val="single" w:sz="4" w:space="0" w:color="auto"/>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7654" w:type="dxa"/>
            <w:tcBorders>
              <w:left w:val="nil"/>
              <w:bottom w:val="single" w:sz="4" w:space="0" w:color="auto"/>
            </w:tcBorders>
          </w:tcPr>
          <w:p w:rsidR="005F2107" w:rsidRPr="00352D70" w:rsidRDefault="005F2107"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Raffination von Mineralöl</w:t>
            </w:r>
          </w:p>
        </w:tc>
      </w:tr>
      <w:tr w:rsidR="005F2107" w:rsidRPr="001A751E" w:rsidTr="00100264">
        <w:trPr>
          <w:cantSplit/>
        </w:trPr>
        <w:tc>
          <w:tcPr>
            <w:tcW w:w="485" w:type="dxa"/>
            <w:tcBorders>
              <w:bottom w:val="nil"/>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1211" w:type="dxa"/>
            <w:tcBorders>
              <w:left w:val="nil"/>
              <w:bottom w:val="nil"/>
            </w:tcBorders>
          </w:tcPr>
          <w:p w:rsidR="005F2107" w:rsidRPr="00352D70" w:rsidRDefault="005F2107"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3</w:t>
            </w:r>
          </w:p>
        </w:tc>
        <w:tc>
          <w:tcPr>
            <w:tcW w:w="426" w:type="dxa"/>
            <w:tcBorders>
              <w:bottom w:val="nil"/>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7654" w:type="dxa"/>
            <w:tcBorders>
              <w:left w:val="nil"/>
              <w:bottom w:val="nil"/>
            </w:tcBorders>
          </w:tcPr>
          <w:p w:rsidR="005F2107" w:rsidRPr="00352D70" w:rsidRDefault="005F2107"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Koks</w:t>
            </w:r>
          </w:p>
        </w:tc>
      </w:tr>
      <w:tr w:rsidR="005F2107" w:rsidRPr="001A751E" w:rsidTr="00100264">
        <w:trPr>
          <w:cantSplit/>
        </w:trPr>
        <w:tc>
          <w:tcPr>
            <w:tcW w:w="485" w:type="dxa"/>
            <w:tcBorders>
              <w:top w:val="nil"/>
              <w:bottom w:val="nil"/>
              <w:right w:val="nil"/>
            </w:tcBorders>
          </w:tcPr>
          <w:p w:rsidR="005F2107" w:rsidRPr="001A751E" w:rsidRDefault="005F2107" w:rsidP="00291772">
            <w:pPr>
              <w:overflowPunct w:val="0"/>
              <w:autoSpaceDE w:val="0"/>
              <w:autoSpaceDN w:val="0"/>
              <w:adjustRightInd w:val="0"/>
              <w:jc w:val="center"/>
              <w:textAlignment w:val="baseline"/>
            </w:pPr>
          </w:p>
        </w:tc>
        <w:tc>
          <w:tcPr>
            <w:tcW w:w="1211" w:type="dxa"/>
            <w:tcBorders>
              <w:top w:val="nil"/>
              <w:left w:val="nil"/>
              <w:bottom w:val="nil"/>
            </w:tcBorders>
          </w:tcPr>
          <w:p w:rsidR="005F2107" w:rsidRPr="00352D70" w:rsidRDefault="005F2107" w:rsidP="00291772">
            <w:pPr>
              <w:pStyle w:val="Kopfzeile"/>
              <w:tabs>
                <w:tab w:val="clear" w:pos="4536"/>
                <w:tab w:val="clear" w:pos="9072"/>
                <w:tab w:val="left" w:pos="365"/>
              </w:tabs>
              <w:overflowPunct w:val="0"/>
              <w:autoSpaceDE w:val="0"/>
              <w:autoSpaceDN w:val="0"/>
              <w:adjustRightInd w:val="0"/>
              <w:textAlignment w:val="baseline"/>
              <w:rPr>
                <w:szCs w:val="22"/>
              </w:rPr>
            </w:pPr>
          </w:p>
        </w:tc>
        <w:tc>
          <w:tcPr>
            <w:tcW w:w="426" w:type="dxa"/>
            <w:tcBorders>
              <w:top w:val="nil"/>
              <w:bottom w:val="nil"/>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ed w:val="0"/>
                  </w:checkBox>
                </w:ffData>
              </w:fldChar>
            </w:r>
            <w:r w:rsidR="005F2107" w:rsidRPr="001A751E">
              <w:instrText xml:space="preserve"> FORMCHECKBOX </w:instrText>
            </w:r>
            <w:r w:rsidR="000D2596">
              <w:fldChar w:fldCharType="separate"/>
            </w:r>
            <w:r w:rsidRPr="001A751E">
              <w:fldChar w:fldCharType="end"/>
            </w:r>
          </w:p>
        </w:tc>
        <w:tc>
          <w:tcPr>
            <w:tcW w:w="7654" w:type="dxa"/>
            <w:tcBorders>
              <w:top w:val="nil"/>
              <w:left w:val="nil"/>
              <w:bottom w:val="nil"/>
            </w:tcBorders>
          </w:tcPr>
          <w:p w:rsidR="005F2107" w:rsidRPr="00352D70" w:rsidRDefault="005F2107"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 xml:space="preserve">Röstung oder Sinterung einschließlich Pelletierung von Metallerz </w:t>
            </w:r>
            <w:r w:rsidR="001D63F8">
              <w:rPr>
                <w:szCs w:val="22"/>
              </w:rPr>
              <w:br/>
            </w:r>
            <w:r w:rsidRPr="00352D70">
              <w:rPr>
                <w:szCs w:val="22"/>
              </w:rPr>
              <w:t>(einschließlich Sulfiderz)</w:t>
            </w:r>
          </w:p>
        </w:tc>
      </w:tr>
      <w:tr w:rsidR="005F2107" w:rsidRPr="001A751E" w:rsidTr="00100264">
        <w:trPr>
          <w:cantSplit/>
        </w:trPr>
        <w:tc>
          <w:tcPr>
            <w:tcW w:w="485" w:type="dxa"/>
            <w:tcBorders>
              <w:top w:val="nil"/>
              <w:bottom w:val="single" w:sz="4" w:space="0" w:color="auto"/>
              <w:right w:val="nil"/>
            </w:tcBorders>
          </w:tcPr>
          <w:p w:rsidR="005F2107" w:rsidRPr="001A751E" w:rsidRDefault="005F2107" w:rsidP="00291772">
            <w:pPr>
              <w:overflowPunct w:val="0"/>
              <w:autoSpaceDE w:val="0"/>
              <w:autoSpaceDN w:val="0"/>
              <w:adjustRightInd w:val="0"/>
              <w:jc w:val="center"/>
              <w:textAlignment w:val="baseline"/>
            </w:pPr>
          </w:p>
        </w:tc>
        <w:tc>
          <w:tcPr>
            <w:tcW w:w="1211" w:type="dxa"/>
            <w:tcBorders>
              <w:top w:val="nil"/>
              <w:left w:val="nil"/>
              <w:bottom w:val="single" w:sz="4" w:space="0" w:color="auto"/>
            </w:tcBorders>
          </w:tcPr>
          <w:p w:rsidR="005F2107" w:rsidRPr="00352D70" w:rsidRDefault="005F2107" w:rsidP="00291772">
            <w:pPr>
              <w:pStyle w:val="Kopfzeile"/>
              <w:tabs>
                <w:tab w:val="clear" w:pos="4536"/>
                <w:tab w:val="clear" w:pos="9072"/>
                <w:tab w:val="left" w:pos="365"/>
              </w:tabs>
              <w:overflowPunct w:val="0"/>
              <w:autoSpaceDE w:val="0"/>
              <w:autoSpaceDN w:val="0"/>
              <w:adjustRightInd w:val="0"/>
              <w:textAlignment w:val="baseline"/>
              <w:rPr>
                <w:szCs w:val="22"/>
              </w:rPr>
            </w:pPr>
          </w:p>
        </w:tc>
        <w:tc>
          <w:tcPr>
            <w:tcW w:w="426" w:type="dxa"/>
            <w:tcBorders>
              <w:top w:val="nil"/>
              <w:bottom w:val="single" w:sz="4" w:space="0" w:color="auto"/>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7654" w:type="dxa"/>
            <w:tcBorders>
              <w:top w:val="nil"/>
              <w:left w:val="nil"/>
              <w:bottom w:val="single" w:sz="4" w:space="0" w:color="auto"/>
            </w:tcBorders>
          </w:tcPr>
          <w:p w:rsidR="005F2107" w:rsidRPr="00352D70" w:rsidRDefault="00B323A0" w:rsidP="001D63F8">
            <w:pPr>
              <w:pStyle w:val="Kopfzeile"/>
              <w:tabs>
                <w:tab w:val="left" w:pos="365"/>
              </w:tabs>
              <w:overflowPunct w:val="0"/>
              <w:autoSpaceDE w:val="0"/>
              <w:autoSpaceDN w:val="0"/>
              <w:adjustRightInd w:val="0"/>
              <w:textAlignment w:val="baseline"/>
              <w:rPr>
                <w:szCs w:val="22"/>
              </w:rPr>
            </w:pPr>
            <w:r w:rsidRPr="00352D70">
              <w:rPr>
                <w:szCs w:val="22"/>
              </w:rPr>
              <w:t>Herstellung von Roheisen oder Stahl (Primär- oder Sekundärschmelzbetrieb) einschließlich</w:t>
            </w:r>
            <w:r w:rsidR="001A751E">
              <w:rPr>
                <w:szCs w:val="22"/>
              </w:rPr>
              <w:t xml:space="preserve"> </w:t>
            </w:r>
            <w:r w:rsidRPr="00352D70">
              <w:rPr>
                <w:szCs w:val="22"/>
              </w:rPr>
              <w:t>Stranggießen</w:t>
            </w:r>
          </w:p>
        </w:tc>
      </w:tr>
      <w:tr w:rsidR="005F2107" w:rsidRPr="001A751E" w:rsidTr="00100264">
        <w:trPr>
          <w:cantSplit/>
        </w:trPr>
        <w:tc>
          <w:tcPr>
            <w:tcW w:w="485" w:type="dxa"/>
            <w:tcBorders>
              <w:top w:val="single" w:sz="4" w:space="0" w:color="auto"/>
              <w:bottom w:val="nil"/>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D574D3" w:rsidRPr="001A751E">
              <w:instrText xml:space="preserve"> FORMCHECKBOX </w:instrText>
            </w:r>
            <w:r w:rsidR="000D2596">
              <w:fldChar w:fldCharType="separate"/>
            </w:r>
            <w:r w:rsidRPr="001A751E">
              <w:fldChar w:fldCharType="end"/>
            </w:r>
          </w:p>
        </w:tc>
        <w:tc>
          <w:tcPr>
            <w:tcW w:w="1211" w:type="dxa"/>
            <w:tcBorders>
              <w:top w:val="single" w:sz="4" w:space="0" w:color="auto"/>
              <w:left w:val="nil"/>
              <w:bottom w:val="nil"/>
            </w:tcBorders>
          </w:tcPr>
          <w:p w:rsidR="005F2107"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4</w:t>
            </w:r>
          </w:p>
        </w:tc>
        <w:tc>
          <w:tcPr>
            <w:tcW w:w="426" w:type="dxa"/>
            <w:tcBorders>
              <w:top w:val="single" w:sz="4" w:space="0" w:color="auto"/>
              <w:bottom w:val="nil"/>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7654" w:type="dxa"/>
            <w:tcBorders>
              <w:top w:val="single" w:sz="4" w:space="0" w:color="auto"/>
              <w:left w:val="nil"/>
              <w:bottom w:val="nil"/>
            </w:tcBorders>
          </w:tcPr>
          <w:p w:rsidR="005F2107"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 xml:space="preserve">Herstellung oder Verarbeitung von Eisenmetallen </w:t>
            </w:r>
            <w:r w:rsidR="00F354D4" w:rsidRPr="00352D70">
              <w:rPr>
                <w:szCs w:val="22"/>
              </w:rPr>
              <w:br/>
            </w:r>
            <w:r w:rsidRPr="00352D70">
              <w:rPr>
                <w:szCs w:val="22"/>
              </w:rPr>
              <w:t>(einschließlich Eisenlegierungen)</w:t>
            </w:r>
          </w:p>
        </w:tc>
      </w:tr>
      <w:tr w:rsidR="00B323A0" w:rsidRPr="001A751E" w:rsidTr="00100264">
        <w:trPr>
          <w:cantSplit/>
        </w:trPr>
        <w:tc>
          <w:tcPr>
            <w:tcW w:w="485" w:type="dxa"/>
            <w:tcBorders>
              <w:top w:val="nil"/>
              <w:bottom w:val="nil"/>
              <w:right w:val="nil"/>
            </w:tcBorders>
          </w:tcPr>
          <w:p w:rsidR="00B323A0" w:rsidRPr="001A751E" w:rsidRDefault="00B323A0" w:rsidP="00291772">
            <w:pPr>
              <w:overflowPunct w:val="0"/>
              <w:autoSpaceDE w:val="0"/>
              <w:autoSpaceDN w:val="0"/>
              <w:adjustRightInd w:val="0"/>
              <w:jc w:val="center"/>
              <w:textAlignment w:val="baseline"/>
            </w:pPr>
          </w:p>
        </w:tc>
        <w:tc>
          <w:tcPr>
            <w:tcW w:w="1211" w:type="dxa"/>
            <w:tcBorders>
              <w:top w:val="nil"/>
              <w:left w:val="nil"/>
              <w:bottom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p>
        </w:tc>
        <w:tc>
          <w:tcPr>
            <w:tcW w:w="426" w:type="dxa"/>
            <w:tcBorders>
              <w:top w:val="nil"/>
              <w:bottom w:val="nil"/>
              <w:right w:val="nil"/>
            </w:tcBorders>
          </w:tcPr>
          <w:p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0D2596">
              <w:fldChar w:fldCharType="separate"/>
            </w:r>
            <w:r w:rsidRPr="001A751E">
              <w:fldChar w:fldCharType="end"/>
            </w:r>
          </w:p>
        </w:tc>
        <w:tc>
          <w:tcPr>
            <w:tcW w:w="7654" w:type="dxa"/>
            <w:tcBorders>
              <w:top w:val="nil"/>
              <w:left w:val="nil"/>
              <w:bottom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Sekundäraluminium</w:t>
            </w:r>
          </w:p>
        </w:tc>
      </w:tr>
      <w:tr w:rsidR="00B323A0" w:rsidRPr="001A751E" w:rsidTr="00100264">
        <w:trPr>
          <w:cantSplit/>
        </w:trPr>
        <w:tc>
          <w:tcPr>
            <w:tcW w:w="485" w:type="dxa"/>
            <w:tcBorders>
              <w:top w:val="nil"/>
              <w:right w:val="nil"/>
            </w:tcBorders>
          </w:tcPr>
          <w:p w:rsidR="00B323A0" w:rsidRPr="001A751E" w:rsidRDefault="00B323A0" w:rsidP="00291772">
            <w:pPr>
              <w:overflowPunct w:val="0"/>
              <w:autoSpaceDE w:val="0"/>
              <w:autoSpaceDN w:val="0"/>
              <w:adjustRightInd w:val="0"/>
              <w:jc w:val="center"/>
              <w:textAlignment w:val="baseline"/>
            </w:pPr>
          </w:p>
        </w:tc>
        <w:tc>
          <w:tcPr>
            <w:tcW w:w="1211" w:type="dxa"/>
            <w:tcBorders>
              <w:top w:val="nil"/>
              <w:left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p>
        </w:tc>
        <w:tc>
          <w:tcPr>
            <w:tcW w:w="426" w:type="dxa"/>
            <w:tcBorders>
              <w:top w:val="nil"/>
              <w:right w:val="nil"/>
            </w:tcBorders>
          </w:tcPr>
          <w:p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0D2596">
              <w:fldChar w:fldCharType="separate"/>
            </w:r>
            <w:r w:rsidRPr="001A751E">
              <w:fldChar w:fldCharType="end"/>
            </w:r>
          </w:p>
        </w:tc>
        <w:tc>
          <w:tcPr>
            <w:tcW w:w="7654" w:type="dxa"/>
            <w:tcBorders>
              <w:top w:val="nil"/>
              <w:left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 xml:space="preserve">Herstellung oder Verarbeitung von Nichteisenmetallen </w:t>
            </w:r>
            <w:r w:rsidR="00F354D4" w:rsidRPr="00352D70">
              <w:rPr>
                <w:szCs w:val="22"/>
              </w:rPr>
              <w:br/>
            </w:r>
            <w:r w:rsidRPr="00352D70">
              <w:rPr>
                <w:szCs w:val="22"/>
              </w:rPr>
              <w:t>einschließlich der Herstellung von Legierungen</w:t>
            </w:r>
          </w:p>
        </w:tc>
      </w:tr>
      <w:tr w:rsidR="005F2107" w:rsidRPr="001A751E" w:rsidTr="00100264">
        <w:trPr>
          <w:cantSplit/>
        </w:trPr>
        <w:tc>
          <w:tcPr>
            <w:tcW w:w="485" w:type="dxa"/>
            <w:tcBorders>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1211" w:type="dxa"/>
            <w:tcBorders>
              <w:left w:val="nil"/>
            </w:tcBorders>
          </w:tcPr>
          <w:p w:rsidR="005F2107"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5</w:t>
            </w:r>
          </w:p>
        </w:tc>
        <w:tc>
          <w:tcPr>
            <w:tcW w:w="426" w:type="dxa"/>
            <w:tcBorders>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7654" w:type="dxa"/>
            <w:tcBorders>
              <w:left w:val="nil"/>
            </w:tcBorders>
          </w:tcPr>
          <w:p w:rsidR="005F2107"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Hers</w:t>
            </w:r>
            <w:r w:rsidR="001A751E">
              <w:rPr>
                <w:szCs w:val="22"/>
              </w:rPr>
              <w:t>tellung von Primäraluminium (CO</w:t>
            </w:r>
            <w:r w:rsidRPr="001A751E">
              <w:rPr>
                <w:szCs w:val="22"/>
                <w:vertAlign w:val="subscript"/>
              </w:rPr>
              <w:t>2</w:t>
            </w:r>
            <w:r w:rsidRPr="00352D70">
              <w:rPr>
                <w:szCs w:val="22"/>
              </w:rPr>
              <w:t xml:space="preserve"> und PFC-Emissionen)</w:t>
            </w:r>
          </w:p>
        </w:tc>
      </w:tr>
      <w:tr w:rsidR="005F2107" w:rsidRPr="001A751E" w:rsidTr="00100264">
        <w:trPr>
          <w:cantSplit/>
        </w:trPr>
        <w:tc>
          <w:tcPr>
            <w:tcW w:w="485" w:type="dxa"/>
            <w:tcBorders>
              <w:bottom w:val="nil"/>
              <w:right w:val="nil"/>
            </w:tcBorders>
          </w:tcPr>
          <w:p w:rsidR="005F2107" w:rsidRPr="001A751E" w:rsidRDefault="00A66DCD" w:rsidP="00291772">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1211" w:type="dxa"/>
            <w:tcBorders>
              <w:left w:val="nil"/>
              <w:bottom w:val="nil"/>
            </w:tcBorders>
          </w:tcPr>
          <w:p w:rsidR="005F2107"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6</w:t>
            </w:r>
          </w:p>
        </w:tc>
        <w:tc>
          <w:tcPr>
            <w:tcW w:w="426" w:type="dxa"/>
            <w:tcBorders>
              <w:bottom w:val="nil"/>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7654" w:type="dxa"/>
            <w:tcBorders>
              <w:left w:val="nil"/>
              <w:bottom w:val="nil"/>
            </w:tcBorders>
          </w:tcPr>
          <w:p w:rsidR="005F2107"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Zementklinker</w:t>
            </w:r>
          </w:p>
        </w:tc>
      </w:tr>
      <w:tr w:rsidR="00B323A0" w:rsidRPr="001A751E" w:rsidTr="00100264">
        <w:trPr>
          <w:cantSplit/>
        </w:trPr>
        <w:tc>
          <w:tcPr>
            <w:tcW w:w="485" w:type="dxa"/>
            <w:tcBorders>
              <w:top w:val="nil"/>
              <w:bottom w:val="nil"/>
              <w:right w:val="nil"/>
            </w:tcBorders>
          </w:tcPr>
          <w:p w:rsidR="00B323A0" w:rsidRPr="001A751E" w:rsidRDefault="00B323A0" w:rsidP="00291772">
            <w:pPr>
              <w:keepNext/>
              <w:overflowPunct w:val="0"/>
              <w:autoSpaceDE w:val="0"/>
              <w:autoSpaceDN w:val="0"/>
              <w:adjustRightInd w:val="0"/>
              <w:jc w:val="center"/>
              <w:textAlignment w:val="baseline"/>
            </w:pPr>
          </w:p>
        </w:tc>
        <w:tc>
          <w:tcPr>
            <w:tcW w:w="1211" w:type="dxa"/>
            <w:tcBorders>
              <w:top w:val="nil"/>
              <w:left w:val="nil"/>
              <w:bottom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p>
        </w:tc>
        <w:tc>
          <w:tcPr>
            <w:tcW w:w="426" w:type="dxa"/>
            <w:tcBorders>
              <w:top w:val="nil"/>
              <w:bottom w:val="nil"/>
              <w:right w:val="nil"/>
            </w:tcBorders>
          </w:tcPr>
          <w:p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0D2596">
              <w:fldChar w:fldCharType="separate"/>
            </w:r>
            <w:r w:rsidRPr="001A751E">
              <w:fldChar w:fldCharType="end"/>
            </w:r>
          </w:p>
        </w:tc>
        <w:tc>
          <w:tcPr>
            <w:tcW w:w="7654" w:type="dxa"/>
            <w:tcBorders>
              <w:top w:val="nil"/>
              <w:left w:val="nil"/>
              <w:bottom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Kalk oder Brennen von Dolomit oder Magnesit</w:t>
            </w:r>
          </w:p>
        </w:tc>
      </w:tr>
      <w:tr w:rsidR="00B323A0" w:rsidRPr="001A751E" w:rsidTr="00100264">
        <w:trPr>
          <w:cantSplit/>
        </w:trPr>
        <w:tc>
          <w:tcPr>
            <w:tcW w:w="485" w:type="dxa"/>
            <w:tcBorders>
              <w:top w:val="nil"/>
              <w:bottom w:val="nil"/>
              <w:right w:val="nil"/>
            </w:tcBorders>
          </w:tcPr>
          <w:p w:rsidR="00B323A0" w:rsidRPr="001A751E" w:rsidRDefault="00B323A0" w:rsidP="00291772">
            <w:pPr>
              <w:keepNext/>
              <w:overflowPunct w:val="0"/>
              <w:autoSpaceDE w:val="0"/>
              <w:autoSpaceDN w:val="0"/>
              <w:adjustRightInd w:val="0"/>
              <w:jc w:val="center"/>
              <w:textAlignment w:val="baseline"/>
            </w:pPr>
          </w:p>
        </w:tc>
        <w:tc>
          <w:tcPr>
            <w:tcW w:w="1211" w:type="dxa"/>
            <w:tcBorders>
              <w:top w:val="nil"/>
              <w:left w:val="nil"/>
              <w:bottom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p>
        </w:tc>
        <w:tc>
          <w:tcPr>
            <w:tcW w:w="426" w:type="dxa"/>
            <w:tcBorders>
              <w:top w:val="nil"/>
              <w:bottom w:val="nil"/>
              <w:right w:val="nil"/>
            </w:tcBorders>
          </w:tcPr>
          <w:p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0D2596">
              <w:fldChar w:fldCharType="separate"/>
            </w:r>
            <w:r w:rsidRPr="001A751E">
              <w:fldChar w:fldCharType="end"/>
            </w:r>
          </w:p>
        </w:tc>
        <w:tc>
          <w:tcPr>
            <w:tcW w:w="7654" w:type="dxa"/>
            <w:tcBorders>
              <w:top w:val="nil"/>
              <w:left w:val="nil"/>
              <w:bottom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Glas einschließlich Glasfasern</w:t>
            </w:r>
          </w:p>
        </w:tc>
      </w:tr>
      <w:tr w:rsidR="00B323A0" w:rsidRPr="001A751E" w:rsidTr="00100264">
        <w:trPr>
          <w:cantSplit/>
        </w:trPr>
        <w:tc>
          <w:tcPr>
            <w:tcW w:w="485" w:type="dxa"/>
            <w:tcBorders>
              <w:top w:val="nil"/>
              <w:bottom w:val="nil"/>
              <w:right w:val="nil"/>
            </w:tcBorders>
          </w:tcPr>
          <w:p w:rsidR="00B323A0" w:rsidRPr="001A751E" w:rsidRDefault="00B323A0" w:rsidP="00291772">
            <w:pPr>
              <w:keepNext/>
              <w:overflowPunct w:val="0"/>
              <w:autoSpaceDE w:val="0"/>
              <w:autoSpaceDN w:val="0"/>
              <w:adjustRightInd w:val="0"/>
              <w:jc w:val="center"/>
              <w:textAlignment w:val="baseline"/>
            </w:pPr>
          </w:p>
        </w:tc>
        <w:tc>
          <w:tcPr>
            <w:tcW w:w="1211" w:type="dxa"/>
            <w:tcBorders>
              <w:top w:val="nil"/>
              <w:left w:val="nil"/>
              <w:bottom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p>
        </w:tc>
        <w:tc>
          <w:tcPr>
            <w:tcW w:w="426" w:type="dxa"/>
            <w:tcBorders>
              <w:top w:val="nil"/>
              <w:bottom w:val="nil"/>
              <w:right w:val="nil"/>
            </w:tcBorders>
          </w:tcPr>
          <w:p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0D2596">
              <w:fldChar w:fldCharType="separate"/>
            </w:r>
            <w:r w:rsidRPr="001A751E">
              <w:fldChar w:fldCharType="end"/>
            </w:r>
          </w:p>
        </w:tc>
        <w:tc>
          <w:tcPr>
            <w:tcW w:w="7654" w:type="dxa"/>
            <w:tcBorders>
              <w:top w:val="nil"/>
              <w:left w:val="nil"/>
              <w:bottom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keramischen Erzeugnissen durch Brennen</w:t>
            </w:r>
          </w:p>
        </w:tc>
      </w:tr>
      <w:tr w:rsidR="00B323A0" w:rsidRPr="001A751E" w:rsidTr="00100264">
        <w:trPr>
          <w:cantSplit/>
        </w:trPr>
        <w:tc>
          <w:tcPr>
            <w:tcW w:w="485" w:type="dxa"/>
            <w:tcBorders>
              <w:top w:val="nil"/>
              <w:bottom w:val="nil"/>
              <w:right w:val="nil"/>
            </w:tcBorders>
          </w:tcPr>
          <w:p w:rsidR="00B323A0" w:rsidRPr="001A751E" w:rsidRDefault="00B323A0" w:rsidP="00291772">
            <w:pPr>
              <w:keepNext/>
              <w:overflowPunct w:val="0"/>
              <w:autoSpaceDE w:val="0"/>
              <w:autoSpaceDN w:val="0"/>
              <w:adjustRightInd w:val="0"/>
              <w:jc w:val="center"/>
              <w:textAlignment w:val="baseline"/>
            </w:pPr>
          </w:p>
        </w:tc>
        <w:tc>
          <w:tcPr>
            <w:tcW w:w="1211" w:type="dxa"/>
            <w:tcBorders>
              <w:top w:val="nil"/>
              <w:left w:val="nil"/>
              <w:bottom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p>
        </w:tc>
        <w:tc>
          <w:tcPr>
            <w:tcW w:w="426" w:type="dxa"/>
            <w:tcBorders>
              <w:top w:val="nil"/>
              <w:bottom w:val="nil"/>
              <w:right w:val="nil"/>
            </w:tcBorders>
          </w:tcPr>
          <w:p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0D2596">
              <w:fldChar w:fldCharType="separate"/>
            </w:r>
            <w:r w:rsidRPr="001A751E">
              <w:fldChar w:fldCharType="end"/>
            </w:r>
          </w:p>
        </w:tc>
        <w:tc>
          <w:tcPr>
            <w:tcW w:w="7654" w:type="dxa"/>
            <w:tcBorders>
              <w:top w:val="nil"/>
              <w:left w:val="nil"/>
              <w:bottom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Dämmmaterial aus Mineralwolle</w:t>
            </w:r>
          </w:p>
        </w:tc>
      </w:tr>
      <w:tr w:rsidR="00B323A0" w:rsidRPr="001A751E" w:rsidTr="00100264">
        <w:trPr>
          <w:cantSplit/>
        </w:trPr>
        <w:tc>
          <w:tcPr>
            <w:tcW w:w="485" w:type="dxa"/>
            <w:tcBorders>
              <w:top w:val="nil"/>
              <w:right w:val="nil"/>
            </w:tcBorders>
          </w:tcPr>
          <w:p w:rsidR="00B323A0" w:rsidRPr="001A751E" w:rsidRDefault="00B323A0" w:rsidP="00291772">
            <w:pPr>
              <w:overflowPunct w:val="0"/>
              <w:autoSpaceDE w:val="0"/>
              <w:autoSpaceDN w:val="0"/>
              <w:adjustRightInd w:val="0"/>
              <w:jc w:val="center"/>
              <w:textAlignment w:val="baseline"/>
            </w:pPr>
          </w:p>
        </w:tc>
        <w:tc>
          <w:tcPr>
            <w:tcW w:w="1211" w:type="dxa"/>
            <w:tcBorders>
              <w:top w:val="nil"/>
              <w:left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p>
        </w:tc>
        <w:tc>
          <w:tcPr>
            <w:tcW w:w="426" w:type="dxa"/>
            <w:tcBorders>
              <w:top w:val="nil"/>
              <w:right w:val="nil"/>
            </w:tcBorders>
          </w:tcPr>
          <w:p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0D2596">
              <w:fldChar w:fldCharType="separate"/>
            </w:r>
            <w:r w:rsidRPr="001A751E">
              <w:fldChar w:fldCharType="end"/>
            </w:r>
          </w:p>
        </w:tc>
        <w:tc>
          <w:tcPr>
            <w:tcW w:w="7654" w:type="dxa"/>
            <w:tcBorders>
              <w:top w:val="nil"/>
              <w:left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 xml:space="preserve">Trocknen oder Brennen von Gips oder Herstellung von Gipskartonplatten </w:t>
            </w:r>
            <w:r w:rsidR="001D63F8">
              <w:rPr>
                <w:szCs w:val="22"/>
              </w:rPr>
              <w:br/>
            </w:r>
            <w:r w:rsidRPr="00352D70">
              <w:rPr>
                <w:szCs w:val="22"/>
              </w:rPr>
              <w:t>und sonstigen Gipserzeugnissen</w:t>
            </w:r>
          </w:p>
        </w:tc>
      </w:tr>
      <w:tr w:rsidR="005F2107" w:rsidRPr="001A751E" w:rsidTr="00100264">
        <w:trPr>
          <w:cantSplit/>
        </w:trPr>
        <w:tc>
          <w:tcPr>
            <w:tcW w:w="485" w:type="dxa"/>
            <w:tcBorders>
              <w:bottom w:val="nil"/>
              <w:right w:val="nil"/>
            </w:tcBorders>
          </w:tcPr>
          <w:p w:rsidR="005F2107" w:rsidRPr="001A751E" w:rsidRDefault="00A66DCD" w:rsidP="00291772">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1211" w:type="dxa"/>
            <w:tcBorders>
              <w:left w:val="nil"/>
              <w:bottom w:val="nil"/>
            </w:tcBorders>
          </w:tcPr>
          <w:p w:rsidR="005F2107"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7</w:t>
            </w:r>
          </w:p>
        </w:tc>
        <w:tc>
          <w:tcPr>
            <w:tcW w:w="426" w:type="dxa"/>
            <w:tcBorders>
              <w:bottom w:val="nil"/>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7654" w:type="dxa"/>
            <w:tcBorders>
              <w:left w:val="nil"/>
              <w:bottom w:val="nil"/>
            </w:tcBorders>
          </w:tcPr>
          <w:p w:rsidR="005F2107"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Zellstoff aus Holz oder anderen Faserstoffen</w:t>
            </w:r>
          </w:p>
        </w:tc>
      </w:tr>
      <w:tr w:rsidR="00B323A0" w:rsidRPr="001A751E" w:rsidTr="00100264">
        <w:trPr>
          <w:cantSplit/>
        </w:trPr>
        <w:tc>
          <w:tcPr>
            <w:tcW w:w="485" w:type="dxa"/>
            <w:tcBorders>
              <w:top w:val="nil"/>
              <w:right w:val="nil"/>
            </w:tcBorders>
          </w:tcPr>
          <w:p w:rsidR="00B323A0" w:rsidRPr="001A751E" w:rsidRDefault="00B323A0" w:rsidP="00291772">
            <w:pPr>
              <w:overflowPunct w:val="0"/>
              <w:autoSpaceDE w:val="0"/>
              <w:autoSpaceDN w:val="0"/>
              <w:adjustRightInd w:val="0"/>
              <w:jc w:val="center"/>
              <w:textAlignment w:val="baseline"/>
            </w:pPr>
          </w:p>
        </w:tc>
        <w:tc>
          <w:tcPr>
            <w:tcW w:w="1211" w:type="dxa"/>
            <w:tcBorders>
              <w:top w:val="nil"/>
              <w:left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jc w:val="center"/>
              <w:textAlignment w:val="baseline"/>
              <w:rPr>
                <w:szCs w:val="22"/>
              </w:rPr>
            </w:pPr>
          </w:p>
        </w:tc>
        <w:tc>
          <w:tcPr>
            <w:tcW w:w="426" w:type="dxa"/>
            <w:tcBorders>
              <w:top w:val="nil"/>
              <w:right w:val="nil"/>
            </w:tcBorders>
          </w:tcPr>
          <w:p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0D2596">
              <w:fldChar w:fldCharType="separate"/>
            </w:r>
            <w:r w:rsidRPr="001A751E">
              <w:fldChar w:fldCharType="end"/>
            </w:r>
          </w:p>
        </w:tc>
        <w:tc>
          <w:tcPr>
            <w:tcW w:w="7654" w:type="dxa"/>
            <w:tcBorders>
              <w:top w:val="nil"/>
              <w:left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Papier oder Karton</w:t>
            </w:r>
          </w:p>
        </w:tc>
      </w:tr>
      <w:tr w:rsidR="005F2107" w:rsidRPr="001A751E" w:rsidTr="00100264">
        <w:trPr>
          <w:cantSplit/>
        </w:trPr>
        <w:tc>
          <w:tcPr>
            <w:tcW w:w="485" w:type="dxa"/>
            <w:tcBorders>
              <w:bottom w:val="nil"/>
              <w:right w:val="nil"/>
            </w:tcBorders>
          </w:tcPr>
          <w:p w:rsidR="005F2107" w:rsidRPr="001A751E" w:rsidRDefault="00A66DCD" w:rsidP="00551034">
            <w:pPr>
              <w:keepNext/>
              <w:overflowPunct w:val="0"/>
              <w:autoSpaceDE w:val="0"/>
              <w:autoSpaceDN w:val="0"/>
              <w:adjustRightInd w:val="0"/>
              <w:jc w:val="center"/>
              <w:textAlignment w:val="baseline"/>
            </w:pPr>
            <w:r w:rsidRPr="001A751E">
              <w:lastRenderedPageBreak/>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1211" w:type="dxa"/>
            <w:tcBorders>
              <w:left w:val="nil"/>
              <w:bottom w:val="nil"/>
            </w:tcBorders>
          </w:tcPr>
          <w:p w:rsidR="005F2107"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r w:rsidRPr="00352D70">
              <w:rPr>
                <w:szCs w:val="22"/>
              </w:rPr>
              <w:t>8</w:t>
            </w:r>
          </w:p>
        </w:tc>
        <w:tc>
          <w:tcPr>
            <w:tcW w:w="426" w:type="dxa"/>
            <w:tcBorders>
              <w:bottom w:val="nil"/>
              <w:right w:val="nil"/>
            </w:tcBorders>
          </w:tcPr>
          <w:p w:rsidR="005F2107"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7654" w:type="dxa"/>
            <w:tcBorders>
              <w:left w:val="nil"/>
              <w:bottom w:val="nil"/>
            </w:tcBorders>
          </w:tcPr>
          <w:p w:rsidR="005F2107"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Industrieruß</w:t>
            </w:r>
          </w:p>
        </w:tc>
      </w:tr>
      <w:tr w:rsidR="00B323A0" w:rsidRPr="001A751E" w:rsidTr="00100264">
        <w:trPr>
          <w:cantSplit/>
        </w:trPr>
        <w:tc>
          <w:tcPr>
            <w:tcW w:w="485" w:type="dxa"/>
            <w:tcBorders>
              <w:top w:val="nil"/>
              <w:bottom w:val="nil"/>
              <w:right w:val="nil"/>
            </w:tcBorders>
          </w:tcPr>
          <w:p w:rsidR="00B323A0" w:rsidRPr="001A751E" w:rsidRDefault="00B323A0" w:rsidP="00551034">
            <w:pPr>
              <w:keepNext/>
              <w:overflowPunct w:val="0"/>
              <w:autoSpaceDE w:val="0"/>
              <w:autoSpaceDN w:val="0"/>
              <w:adjustRightInd w:val="0"/>
              <w:jc w:val="center"/>
              <w:textAlignment w:val="baseline"/>
            </w:pPr>
          </w:p>
        </w:tc>
        <w:tc>
          <w:tcPr>
            <w:tcW w:w="1211" w:type="dxa"/>
            <w:tcBorders>
              <w:top w:val="nil"/>
              <w:left w:val="nil"/>
              <w:bottom w:val="nil"/>
            </w:tcBorders>
          </w:tcPr>
          <w:p w:rsidR="00B323A0"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p>
        </w:tc>
        <w:tc>
          <w:tcPr>
            <w:tcW w:w="426" w:type="dxa"/>
            <w:tcBorders>
              <w:top w:val="nil"/>
              <w:bottom w:val="nil"/>
              <w:right w:val="nil"/>
            </w:tcBorders>
          </w:tcPr>
          <w:p w:rsidR="00B323A0"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0D2596">
              <w:fldChar w:fldCharType="separate"/>
            </w:r>
            <w:r w:rsidRPr="001A751E">
              <w:fldChar w:fldCharType="end"/>
            </w:r>
          </w:p>
        </w:tc>
        <w:tc>
          <w:tcPr>
            <w:tcW w:w="7654" w:type="dxa"/>
            <w:tcBorders>
              <w:top w:val="nil"/>
              <w:left w:val="nil"/>
              <w:bottom w:val="nil"/>
            </w:tcBorders>
          </w:tcPr>
          <w:p w:rsidR="00B323A0"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Ammoniak</w:t>
            </w:r>
          </w:p>
        </w:tc>
      </w:tr>
      <w:tr w:rsidR="00B323A0" w:rsidRPr="001A751E" w:rsidTr="00100264">
        <w:trPr>
          <w:cantSplit/>
        </w:trPr>
        <w:tc>
          <w:tcPr>
            <w:tcW w:w="485" w:type="dxa"/>
            <w:tcBorders>
              <w:top w:val="nil"/>
              <w:bottom w:val="nil"/>
              <w:right w:val="nil"/>
            </w:tcBorders>
          </w:tcPr>
          <w:p w:rsidR="00B323A0" w:rsidRPr="001A751E" w:rsidRDefault="00B323A0" w:rsidP="00551034">
            <w:pPr>
              <w:keepNext/>
              <w:overflowPunct w:val="0"/>
              <w:autoSpaceDE w:val="0"/>
              <w:autoSpaceDN w:val="0"/>
              <w:adjustRightInd w:val="0"/>
              <w:jc w:val="center"/>
              <w:textAlignment w:val="baseline"/>
            </w:pPr>
          </w:p>
        </w:tc>
        <w:tc>
          <w:tcPr>
            <w:tcW w:w="1211" w:type="dxa"/>
            <w:tcBorders>
              <w:top w:val="nil"/>
              <w:left w:val="nil"/>
              <w:bottom w:val="nil"/>
            </w:tcBorders>
          </w:tcPr>
          <w:p w:rsidR="00B323A0"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p>
        </w:tc>
        <w:tc>
          <w:tcPr>
            <w:tcW w:w="426" w:type="dxa"/>
            <w:tcBorders>
              <w:top w:val="nil"/>
              <w:bottom w:val="nil"/>
              <w:right w:val="nil"/>
            </w:tcBorders>
          </w:tcPr>
          <w:p w:rsidR="00B323A0"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0D2596">
              <w:fldChar w:fldCharType="separate"/>
            </w:r>
            <w:r w:rsidRPr="001A751E">
              <w:fldChar w:fldCharType="end"/>
            </w:r>
          </w:p>
        </w:tc>
        <w:tc>
          <w:tcPr>
            <w:tcW w:w="7654" w:type="dxa"/>
            <w:tcBorders>
              <w:top w:val="nil"/>
              <w:left w:val="nil"/>
              <w:bottom w:val="nil"/>
            </w:tcBorders>
          </w:tcPr>
          <w:p w:rsidR="00B323A0"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organischen Grundchemikalien durch Cracken, Reformieren, partielle oder vollständige Oxidation oder ähnliche Verfahren</w:t>
            </w:r>
          </w:p>
        </w:tc>
      </w:tr>
      <w:tr w:rsidR="00B323A0" w:rsidRPr="001A751E" w:rsidTr="00100264">
        <w:trPr>
          <w:cantSplit/>
        </w:trPr>
        <w:tc>
          <w:tcPr>
            <w:tcW w:w="485" w:type="dxa"/>
            <w:tcBorders>
              <w:top w:val="nil"/>
              <w:bottom w:val="nil"/>
              <w:right w:val="nil"/>
            </w:tcBorders>
          </w:tcPr>
          <w:p w:rsidR="00B323A0" w:rsidRPr="001A751E" w:rsidRDefault="00B323A0" w:rsidP="00551034">
            <w:pPr>
              <w:keepNext/>
              <w:overflowPunct w:val="0"/>
              <w:autoSpaceDE w:val="0"/>
              <w:autoSpaceDN w:val="0"/>
              <w:adjustRightInd w:val="0"/>
              <w:jc w:val="center"/>
              <w:textAlignment w:val="baseline"/>
            </w:pPr>
          </w:p>
        </w:tc>
        <w:tc>
          <w:tcPr>
            <w:tcW w:w="1211" w:type="dxa"/>
            <w:tcBorders>
              <w:top w:val="nil"/>
              <w:left w:val="nil"/>
              <w:bottom w:val="nil"/>
            </w:tcBorders>
          </w:tcPr>
          <w:p w:rsidR="00B323A0"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p>
        </w:tc>
        <w:tc>
          <w:tcPr>
            <w:tcW w:w="426" w:type="dxa"/>
            <w:tcBorders>
              <w:top w:val="nil"/>
              <w:bottom w:val="nil"/>
              <w:right w:val="nil"/>
            </w:tcBorders>
          </w:tcPr>
          <w:p w:rsidR="00B323A0"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0D2596">
              <w:fldChar w:fldCharType="separate"/>
            </w:r>
            <w:r w:rsidRPr="001A751E">
              <w:fldChar w:fldCharType="end"/>
            </w:r>
          </w:p>
        </w:tc>
        <w:tc>
          <w:tcPr>
            <w:tcW w:w="7654" w:type="dxa"/>
            <w:tcBorders>
              <w:top w:val="nil"/>
              <w:left w:val="nil"/>
              <w:bottom w:val="nil"/>
            </w:tcBorders>
          </w:tcPr>
          <w:p w:rsidR="00B323A0"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Wasserstoff (H</w:t>
            </w:r>
            <w:r w:rsidRPr="00352D70">
              <w:rPr>
                <w:szCs w:val="22"/>
                <w:vertAlign w:val="subscript"/>
              </w:rPr>
              <w:t>2</w:t>
            </w:r>
            <w:r w:rsidRPr="00352D70">
              <w:rPr>
                <w:szCs w:val="22"/>
              </w:rPr>
              <w:t xml:space="preserve">) und Synthesegas durch Reformieren </w:t>
            </w:r>
            <w:r w:rsidR="001D63F8">
              <w:rPr>
                <w:szCs w:val="22"/>
              </w:rPr>
              <w:br/>
            </w:r>
            <w:r w:rsidRPr="00352D70">
              <w:rPr>
                <w:szCs w:val="22"/>
              </w:rPr>
              <w:t>oder partielle Oxidation</w:t>
            </w:r>
          </w:p>
        </w:tc>
      </w:tr>
      <w:tr w:rsidR="00B323A0" w:rsidRPr="001A751E" w:rsidTr="00100264">
        <w:trPr>
          <w:cantSplit/>
        </w:trPr>
        <w:tc>
          <w:tcPr>
            <w:tcW w:w="485" w:type="dxa"/>
            <w:tcBorders>
              <w:top w:val="nil"/>
              <w:right w:val="nil"/>
            </w:tcBorders>
          </w:tcPr>
          <w:p w:rsidR="00B323A0" w:rsidRPr="001A751E" w:rsidRDefault="00B323A0" w:rsidP="00291772">
            <w:pPr>
              <w:overflowPunct w:val="0"/>
              <w:autoSpaceDE w:val="0"/>
              <w:autoSpaceDN w:val="0"/>
              <w:adjustRightInd w:val="0"/>
              <w:jc w:val="center"/>
              <w:textAlignment w:val="baseline"/>
            </w:pPr>
          </w:p>
        </w:tc>
        <w:tc>
          <w:tcPr>
            <w:tcW w:w="1211" w:type="dxa"/>
            <w:tcBorders>
              <w:top w:val="nil"/>
              <w:left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p>
        </w:tc>
        <w:tc>
          <w:tcPr>
            <w:tcW w:w="426" w:type="dxa"/>
            <w:tcBorders>
              <w:top w:val="nil"/>
              <w:right w:val="nil"/>
            </w:tcBorders>
          </w:tcPr>
          <w:p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0D2596">
              <w:fldChar w:fldCharType="separate"/>
            </w:r>
            <w:r w:rsidRPr="001A751E">
              <w:fldChar w:fldCharType="end"/>
            </w:r>
          </w:p>
        </w:tc>
        <w:tc>
          <w:tcPr>
            <w:tcW w:w="7654" w:type="dxa"/>
            <w:tcBorders>
              <w:top w:val="nil"/>
              <w:left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Sodaasche (Na</w:t>
            </w:r>
            <w:r w:rsidRPr="00352D70">
              <w:rPr>
                <w:szCs w:val="22"/>
                <w:vertAlign w:val="subscript"/>
              </w:rPr>
              <w:t>2</w:t>
            </w:r>
            <w:r w:rsidRPr="00352D70">
              <w:rPr>
                <w:szCs w:val="22"/>
              </w:rPr>
              <w:t>CO</w:t>
            </w:r>
            <w:r w:rsidR="00F77EF5" w:rsidRPr="00352D70">
              <w:rPr>
                <w:szCs w:val="22"/>
                <w:vertAlign w:val="subscript"/>
              </w:rPr>
              <w:t>3</w:t>
            </w:r>
            <w:r w:rsidRPr="00352D70">
              <w:rPr>
                <w:szCs w:val="22"/>
              </w:rPr>
              <w:t>) und Natriumbicarbonat (NaHCO</w:t>
            </w:r>
            <w:r w:rsidRPr="00352D70">
              <w:rPr>
                <w:szCs w:val="22"/>
                <w:vertAlign w:val="subscript"/>
              </w:rPr>
              <w:t>3</w:t>
            </w:r>
            <w:r w:rsidRPr="00352D70">
              <w:rPr>
                <w:szCs w:val="22"/>
              </w:rPr>
              <w:t>)</w:t>
            </w:r>
          </w:p>
        </w:tc>
      </w:tr>
      <w:tr w:rsidR="005F2107" w:rsidRPr="001A751E" w:rsidTr="00100264">
        <w:trPr>
          <w:cantSplit/>
        </w:trPr>
        <w:tc>
          <w:tcPr>
            <w:tcW w:w="485" w:type="dxa"/>
            <w:tcBorders>
              <w:bottom w:val="nil"/>
              <w:right w:val="nil"/>
            </w:tcBorders>
          </w:tcPr>
          <w:p w:rsidR="005F2107"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1211" w:type="dxa"/>
            <w:tcBorders>
              <w:left w:val="nil"/>
              <w:bottom w:val="nil"/>
            </w:tcBorders>
          </w:tcPr>
          <w:p w:rsidR="005F2107"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r w:rsidRPr="00352D70">
              <w:rPr>
                <w:szCs w:val="22"/>
              </w:rPr>
              <w:t>9</w:t>
            </w:r>
          </w:p>
        </w:tc>
        <w:tc>
          <w:tcPr>
            <w:tcW w:w="426" w:type="dxa"/>
            <w:tcBorders>
              <w:bottom w:val="nil"/>
              <w:right w:val="nil"/>
            </w:tcBorders>
          </w:tcPr>
          <w:p w:rsidR="005F2107"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7654" w:type="dxa"/>
            <w:tcBorders>
              <w:left w:val="nil"/>
              <w:bottom w:val="nil"/>
            </w:tcBorders>
          </w:tcPr>
          <w:p w:rsidR="005F2107"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Salpetersäure (CO</w:t>
            </w:r>
            <w:r w:rsidRPr="00352D70">
              <w:rPr>
                <w:szCs w:val="22"/>
                <w:vertAlign w:val="subscript"/>
              </w:rPr>
              <w:t>2</w:t>
            </w:r>
            <w:r w:rsidRPr="00352D70">
              <w:rPr>
                <w:szCs w:val="22"/>
              </w:rPr>
              <w:t>- und N</w:t>
            </w:r>
            <w:r w:rsidRPr="00352D70">
              <w:rPr>
                <w:szCs w:val="22"/>
                <w:vertAlign w:val="subscript"/>
              </w:rPr>
              <w:t>2</w:t>
            </w:r>
            <w:r w:rsidRPr="00352D70">
              <w:rPr>
                <w:szCs w:val="22"/>
              </w:rPr>
              <w:t>O-Emissionen)</w:t>
            </w:r>
          </w:p>
        </w:tc>
      </w:tr>
      <w:tr w:rsidR="00B323A0" w:rsidRPr="001A751E" w:rsidTr="00100264">
        <w:trPr>
          <w:cantSplit/>
        </w:trPr>
        <w:tc>
          <w:tcPr>
            <w:tcW w:w="485" w:type="dxa"/>
            <w:tcBorders>
              <w:top w:val="nil"/>
              <w:bottom w:val="nil"/>
              <w:right w:val="nil"/>
            </w:tcBorders>
          </w:tcPr>
          <w:p w:rsidR="00B323A0" w:rsidRPr="001A751E" w:rsidRDefault="00B323A0" w:rsidP="00551034">
            <w:pPr>
              <w:keepNext/>
              <w:overflowPunct w:val="0"/>
              <w:autoSpaceDE w:val="0"/>
              <w:autoSpaceDN w:val="0"/>
              <w:adjustRightInd w:val="0"/>
              <w:jc w:val="center"/>
              <w:textAlignment w:val="baseline"/>
            </w:pPr>
          </w:p>
        </w:tc>
        <w:tc>
          <w:tcPr>
            <w:tcW w:w="1211" w:type="dxa"/>
            <w:tcBorders>
              <w:top w:val="nil"/>
              <w:left w:val="nil"/>
              <w:bottom w:val="nil"/>
            </w:tcBorders>
          </w:tcPr>
          <w:p w:rsidR="00B323A0"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p>
        </w:tc>
        <w:tc>
          <w:tcPr>
            <w:tcW w:w="426" w:type="dxa"/>
            <w:tcBorders>
              <w:top w:val="nil"/>
              <w:bottom w:val="nil"/>
              <w:right w:val="nil"/>
            </w:tcBorders>
          </w:tcPr>
          <w:p w:rsidR="00B323A0"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0D2596">
              <w:fldChar w:fldCharType="separate"/>
            </w:r>
            <w:r w:rsidRPr="001A751E">
              <w:fldChar w:fldCharType="end"/>
            </w:r>
          </w:p>
        </w:tc>
        <w:tc>
          <w:tcPr>
            <w:tcW w:w="7654" w:type="dxa"/>
            <w:tcBorders>
              <w:top w:val="nil"/>
              <w:left w:val="nil"/>
              <w:bottom w:val="nil"/>
            </w:tcBorders>
          </w:tcPr>
          <w:p w:rsidR="00B323A0"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Adipinsäure (CO</w:t>
            </w:r>
            <w:r w:rsidRPr="00352D70">
              <w:rPr>
                <w:szCs w:val="22"/>
                <w:vertAlign w:val="subscript"/>
              </w:rPr>
              <w:t>2</w:t>
            </w:r>
            <w:r w:rsidRPr="00352D70">
              <w:rPr>
                <w:szCs w:val="22"/>
              </w:rPr>
              <w:t>- und N</w:t>
            </w:r>
            <w:r w:rsidRPr="00352D70">
              <w:rPr>
                <w:szCs w:val="22"/>
                <w:vertAlign w:val="subscript"/>
              </w:rPr>
              <w:t>2</w:t>
            </w:r>
            <w:r w:rsidRPr="00352D70">
              <w:rPr>
                <w:szCs w:val="22"/>
              </w:rPr>
              <w:t>O-Emissionen)</w:t>
            </w:r>
          </w:p>
        </w:tc>
      </w:tr>
      <w:tr w:rsidR="00B323A0" w:rsidRPr="001A751E" w:rsidTr="00100264">
        <w:trPr>
          <w:cantSplit/>
        </w:trPr>
        <w:tc>
          <w:tcPr>
            <w:tcW w:w="485" w:type="dxa"/>
            <w:tcBorders>
              <w:top w:val="nil"/>
              <w:bottom w:val="nil"/>
              <w:right w:val="nil"/>
            </w:tcBorders>
          </w:tcPr>
          <w:p w:rsidR="00B323A0" w:rsidRPr="001A751E" w:rsidRDefault="00B323A0" w:rsidP="00551034">
            <w:pPr>
              <w:keepNext/>
              <w:overflowPunct w:val="0"/>
              <w:autoSpaceDE w:val="0"/>
              <w:autoSpaceDN w:val="0"/>
              <w:adjustRightInd w:val="0"/>
              <w:jc w:val="center"/>
              <w:textAlignment w:val="baseline"/>
            </w:pPr>
          </w:p>
        </w:tc>
        <w:tc>
          <w:tcPr>
            <w:tcW w:w="1211" w:type="dxa"/>
            <w:tcBorders>
              <w:top w:val="nil"/>
              <w:left w:val="nil"/>
              <w:bottom w:val="nil"/>
            </w:tcBorders>
          </w:tcPr>
          <w:p w:rsidR="00B323A0"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p>
        </w:tc>
        <w:tc>
          <w:tcPr>
            <w:tcW w:w="426" w:type="dxa"/>
            <w:tcBorders>
              <w:top w:val="nil"/>
              <w:bottom w:val="nil"/>
              <w:right w:val="nil"/>
            </w:tcBorders>
          </w:tcPr>
          <w:p w:rsidR="00B323A0"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0D2596">
              <w:fldChar w:fldCharType="separate"/>
            </w:r>
            <w:r w:rsidRPr="001A751E">
              <w:fldChar w:fldCharType="end"/>
            </w:r>
          </w:p>
        </w:tc>
        <w:tc>
          <w:tcPr>
            <w:tcW w:w="7654" w:type="dxa"/>
            <w:tcBorders>
              <w:top w:val="nil"/>
              <w:left w:val="nil"/>
              <w:bottom w:val="nil"/>
            </w:tcBorders>
          </w:tcPr>
          <w:p w:rsidR="00B323A0"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r w:rsidRPr="00352D70">
              <w:rPr>
                <w:szCs w:val="22"/>
              </w:rPr>
              <w:t>Herstellung von Glyoxal und Glyxolsäure (CO</w:t>
            </w:r>
            <w:r w:rsidRPr="00352D70">
              <w:rPr>
                <w:szCs w:val="22"/>
                <w:vertAlign w:val="subscript"/>
              </w:rPr>
              <w:t>2</w:t>
            </w:r>
            <w:r w:rsidRPr="00352D70">
              <w:rPr>
                <w:szCs w:val="22"/>
              </w:rPr>
              <w:t>- und N</w:t>
            </w:r>
            <w:r w:rsidRPr="00352D70">
              <w:rPr>
                <w:szCs w:val="22"/>
                <w:vertAlign w:val="subscript"/>
              </w:rPr>
              <w:t>2</w:t>
            </w:r>
            <w:r w:rsidRPr="00352D70">
              <w:rPr>
                <w:szCs w:val="22"/>
              </w:rPr>
              <w:t>O-Emissionen)</w:t>
            </w:r>
          </w:p>
        </w:tc>
      </w:tr>
      <w:tr w:rsidR="005F2107" w:rsidRPr="001A751E" w:rsidTr="00100264">
        <w:trPr>
          <w:cantSplit/>
        </w:trPr>
        <w:tc>
          <w:tcPr>
            <w:tcW w:w="485" w:type="dxa"/>
            <w:tcBorders>
              <w:bottom w:val="nil"/>
              <w:right w:val="nil"/>
            </w:tcBorders>
          </w:tcPr>
          <w:p w:rsidR="005F2107"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1211" w:type="dxa"/>
            <w:tcBorders>
              <w:left w:val="nil"/>
              <w:bottom w:val="nil"/>
            </w:tcBorders>
          </w:tcPr>
          <w:p w:rsidR="005F2107"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r w:rsidRPr="00352D70">
              <w:rPr>
                <w:szCs w:val="22"/>
              </w:rPr>
              <w:t>10</w:t>
            </w:r>
          </w:p>
        </w:tc>
        <w:tc>
          <w:tcPr>
            <w:tcW w:w="426" w:type="dxa"/>
            <w:tcBorders>
              <w:bottom w:val="nil"/>
              <w:right w:val="nil"/>
            </w:tcBorders>
          </w:tcPr>
          <w:p w:rsidR="005F2107" w:rsidRPr="001A751E" w:rsidRDefault="00A66DCD" w:rsidP="00551034">
            <w:pPr>
              <w:keepNext/>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7654" w:type="dxa"/>
            <w:tcBorders>
              <w:left w:val="nil"/>
              <w:bottom w:val="nil"/>
            </w:tcBorders>
          </w:tcPr>
          <w:p w:rsidR="005F2107" w:rsidRPr="00352D70" w:rsidRDefault="00B323A0" w:rsidP="00551034">
            <w:pPr>
              <w:pStyle w:val="Kopfzeile"/>
              <w:keepNext/>
              <w:tabs>
                <w:tab w:val="clear" w:pos="4536"/>
                <w:tab w:val="clear" w:pos="9072"/>
                <w:tab w:val="left" w:pos="365"/>
              </w:tabs>
              <w:overflowPunct w:val="0"/>
              <w:autoSpaceDE w:val="0"/>
              <w:autoSpaceDN w:val="0"/>
              <w:adjustRightInd w:val="0"/>
              <w:textAlignment w:val="baseline"/>
              <w:rPr>
                <w:szCs w:val="22"/>
              </w:rPr>
            </w:pPr>
            <w:r w:rsidRPr="00352D70">
              <w:rPr>
                <w:szCs w:val="22"/>
              </w:rPr>
              <w:t>Abscheidung von Treibhausgasen aus unter die Richtlinie 2003/87/EG fallenden Anlagen zwecks Beförderung und geologischer Speicherung in einer gemäß der Richtlinie 2009/31/EG genehmigten Speicherstätte</w:t>
            </w:r>
          </w:p>
        </w:tc>
      </w:tr>
      <w:tr w:rsidR="00B323A0" w:rsidRPr="001A751E" w:rsidTr="00100264">
        <w:trPr>
          <w:cantSplit/>
        </w:trPr>
        <w:tc>
          <w:tcPr>
            <w:tcW w:w="485" w:type="dxa"/>
            <w:tcBorders>
              <w:top w:val="nil"/>
              <w:right w:val="nil"/>
            </w:tcBorders>
          </w:tcPr>
          <w:p w:rsidR="00B323A0" w:rsidRPr="001A751E" w:rsidRDefault="00B323A0" w:rsidP="00291772">
            <w:pPr>
              <w:overflowPunct w:val="0"/>
              <w:autoSpaceDE w:val="0"/>
              <w:autoSpaceDN w:val="0"/>
              <w:adjustRightInd w:val="0"/>
              <w:jc w:val="center"/>
              <w:textAlignment w:val="baseline"/>
            </w:pPr>
          </w:p>
        </w:tc>
        <w:tc>
          <w:tcPr>
            <w:tcW w:w="1211" w:type="dxa"/>
            <w:tcBorders>
              <w:top w:val="nil"/>
              <w:left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p>
        </w:tc>
        <w:tc>
          <w:tcPr>
            <w:tcW w:w="426" w:type="dxa"/>
            <w:tcBorders>
              <w:top w:val="nil"/>
              <w:right w:val="nil"/>
            </w:tcBorders>
          </w:tcPr>
          <w:p w:rsidR="00B323A0"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B323A0" w:rsidRPr="001A751E">
              <w:instrText xml:space="preserve"> FORMCHECKBOX </w:instrText>
            </w:r>
            <w:r w:rsidR="000D2596">
              <w:fldChar w:fldCharType="separate"/>
            </w:r>
            <w:r w:rsidRPr="001A751E">
              <w:fldChar w:fldCharType="end"/>
            </w:r>
          </w:p>
        </w:tc>
        <w:tc>
          <w:tcPr>
            <w:tcW w:w="7654" w:type="dxa"/>
            <w:tcBorders>
              <w:top w:val="nil"/>
              <w:left w:val="nil"/>
            </w:tcBorders>
          </w:tcPr>
          <w:p w:rsidR="00B323A0"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Beförderung von Treibhausgasen in Pipelines zwecks geologischer Speicherung in einer gemäß der Richtlinie 2009/31/EG genehmigten Speicherstätte</w:t>
            </w:r>
          </w:p>
        </w:tc>
      </w:tr>
      <w:tr w:rsidR="005F2107" w:rsidRPr="001A751E" w:rsidTr="00100264">
        <w:trPr>
          <w:cantSplit/>
        </w:trPr>
        <w:tc>
          <w:tcPr>
            <w:tcW w:w="485" w:type="dxa"/>
            <w:tcBorders>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1211" w:type="dxa"/>
            <w:tcBorders>
              <w:left w:val="nil"/>
            </w:tcBorders>
          </w:tcPr>
          <w:p w:rsidR="005F2107"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11</w:t>
            </w:r>
          </w:p>
        </w:tc>
        <w:tc>
          <w:tcPr>
            <w:tcW w:w="426" w:type="dxa"/>
            <w:tcBorders>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7654" w:type="dxa"/>
            <w:tcBorders>
              <w:left w:val="nil"/>
            </w:tcBorders>
          </w:tcPr>
          <w:p w:rsidR="005F2107"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Geologische Speicherung von Treibhausgasen in einer gemäß der Richtlinie 2009/31/EG genehmigten Speicherstätte</w:t>
            </w:r>
          </w:p>
        </w:tc>
      </w:tr>
      <w:tr w:rsidR="005F2107" w:rsidRPr="001A751E" w:rsidTr="00100264">
        <w:trPr>
          <w:cantSplit/>
        </w:trPr>
        <w:tc>
          <w:tcPr>
            <w:tcW w:w="485" w:type="dxa"/>
            <w:tcBorders>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1211" w:type="dxa"/>
            <w:tcBorders>
              <w:left w:val="nil"/>
            </w:tcBorders>
          </w:tcPr>
          <w:p w:rsidR="005F2107" w:rsidRPr="00352D70" w:rsidRDefault="00B323A0" w:rsidP="00291772">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12</w:t>
            </w:r>
          </w:p>
        </w:tc>
        <w:tc>
          <w:tcPr>
            <w:tcW w:w="426" w:type="dxa"/>
            <w:tcBorders>
              <w:right w:val="nil"/>
            </w:tcBorders>
          </w:tcPr>
          <w:p w:rsidR="005F2107"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5F2107" w:rsidRPr="001A751E">
              <w:instrText xml:space="preserve"> FORMCHECKBOX </w:instrText>
            </w:r>
            <w:r w:rsidR="000D2596">
              <w:fldChar w:fldCharType="separate"/>
            </w:r>
            <w:r w:rsidRPr="001A751E">
              <w:fldChar w:fldCharType="end"/>
            </w:r>
          </w:p>
        </w:tc>
        <w:tc>
          <w:tcPr>
            <w:tcW w:w="7654" w:type="dxa"/>
            <w:tcBorders>
              <w:left w:val="nil"/>
            </w:tcBorders>
          </w:tcPr>
          <w:p w:rsidR="005F2107" w:rsidRPr="00352D70" w:rsidRDefault="00B323A0" w:rsidP="00F35713">
            <w:pPr>
              <w:pStyle w:val="Kopfzeile"/>
              <w:tabs>
                <w:tab w:val="clear" w:pos="4536"/>
                <w:tab w:val="clear" w:pos="9072"/>
                <w:tab w:val="left" w:pos="365"/>
              </w:tabs>
              <w:overflowPunct w:val="0"/>
              <w:autoSpaceDE w:val="0"/>
              <w:autoSpaceDN w:val="0"/>
              <w:adjustRightInd w:val="0"/>
              <w:textAlignment w:val="baseline"/>
              <w:rPr>
                <w:szCs w:val="22"/>
              </w:rPr>
            </w:pPr>
            <w:r w:rsidRPr="00352D70">
              <w:rPr>
                <w:szCs w:val="22"/>
              </w:rPr>
              <w:t>Luftverkehr (Emissionen und Tonnenkilometerdaten)</w:t>
            </w:r>
            <w:r w:rsidR="00927E4F">
              <w:rPr>
                <w:szCs w:val="22"/>
              </w:rPr>
              <w:t xml:space="preserve"> einschließlich </w:t>
            </w:r>
            <w:r w:rsidR="00F35713">
              <w:rPr>
                <w:szCs w:val="22"/>
              </w:rPr>
              <w:t xml:space="preserve">ICAO </w:t>
            </w:r>
            <w:r w:rsidR="00927E4F">
              <w:rPr>
                <w:szCs w:val="22"/>
              </w:rPr>
              <w:t>C</w:t>
            </w:r>
            <w:r w:rsidR="006377E9">
              <w:rPr>
                <w:szCs w:val="22"/>
              </w:rPr>
              <w:t>ORSIA</w:t>
            </w:r>
            <w:r w:rsidR="00F35713">
              <w:rPr>
                <w:szCs w:val="22"/>
              </w:rPr>
              <w:t xml:space="preserve"> Flüge </w:t>
            </w:r>
            <w:r w:rsidR="00927E4F">
              <w:rPr>
                <w:szCs w:val="22"/>
              </w:rPr>
              <w:t xml:space="preserve"> auf der Grundlage </w:t>
            </w:r>
            <w:r w:rsidR="006377E9">
              <w:rPr>
                <w:szCs w:val="22"/>
              </w:rPr>
              <w:t xml:space="preserve">der </w:t>
            </w:r>
            <w:r w:rsidR="00F35713">
              <w:rPr>
                <w:szCs w:val="22"/>
              </w:rPr>
              <w:t>D</w:t>
            </w:r>
            <w:r w:rsidR="006377E9">
              <w:rPr>
                <w:szCs w:val="22"/>
              </w:rPr>
              <w:t>elegierten</w:t>
            </w:r>
            <w:r w:rsidR="00F35713">
              <w:rPr>
                <w:szCs w:val="22"/>
              </w:rPr>
              <w:t xml:space="preserve"> </w:t>
            </w:r>
            <w:r w:rsidR="006377E9">
              <w:rPr>
                <w:szCs w:val="22"/>
              </w:rPr>
              <w:t>Verordnung</w:t>
            </w:r>
            <w:r w:rsidR="00F35713">
              <w:rPr>
                <w:szCs w:val="22"/>
              </w:rPr>
              <w:t xml:space="preserve"> (EU) 2019/1603</w:t>
            </w:r>
          </w:p>
        </w:tc>
      </w:tr>
      <w:tr w:rsidR="00735662" w:rsidRPr="001A751E" w:rsidTr="00100264">
        <w:trPr>
          <w:cantSplit/>
        </w:trPr>
        <w:tc>
          <w:tcPr>
            <w:tcW w:w="485" w:type="dxa"/>
            <w:tcBorders>
              <w:right w:val="nil"/>
            </w:tcBorders>
          </w:tcPr>
          <w:p w:rsidR="00735662"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735662" w:rsidRPr="001A751E">
              <w:instrText xml:space="preserve"> FORMCHECKBOX </w:instrText>
            </w:r>
            <w:r w:rsidR="000D2596">
              <w:fldChar w:fldCharType="separate"/>
            </w:r>
            <w:r w:rsidRPr="001A751E">
              <w:fldChar w:fldCharType="end"/>
            </w:r>
          </w:p>
        </w:tc>
        <w:tc>
          <w:tcPr>
            <w:tcW w:w="1211" w:type="dxa"/>
            <w:tcBorders>
              <w:left w:val="nil"/>
            </w:tcBorders>
          </w:tcPr>
          <w:p w:rsidR="00735662" w:rsidRPr="00352D70" w:rsidRDefault="00A22472" w:rsidP="00291772">
            <w:pPr>
              <w:pStyle w:val="Kopfzeile"/>
              <w:tabs>
                <w:tab w:val="clear" w:pos="4536"/>
                <w:tab w:val="clear" w:pos="9072"/>
                <w:tab w:val="left" w:pos="365"/>
              </w:tabs>
              <w:overflowPunct w:val="0"/>
              <w:autoSpaceDE w:val="0"/>
              <w:autoSpaceDN w:val="0"/>
              <w:adjustRightInd w:val="0"/>
              <w:textAlignment w:val="baseline"/>
              <w:rPr>
                <w:szCs w:val="22"/>
              </w:rPr>
            </w:pPr>
            <w:r>
              <w:rPr>
                <w:szCs w:val="22"/>
              </w:rPr>
              <w:t>98</w:t>
            </w:r>
          </w:p>
        </w:tc>
        <w:tc>
          <w:tcPr>
            <w:tcW w:w="426" w:type="dxa"/>
            <w:tcBorders>
              <w:right w:val="nil"/>
            </w:tcBorders>
          </w:tcPr>
          <w:p w:rsidR="00735662"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735662" w:rsidRPr="001A751E">
              <w:instrText xml:space="preserve"> FORMCHECKBOX </w:instrText>
            </w:r>
            <w:r w:rsidR="000D2596">
              <w:fldChar w:fldCharType="separate"/>
            </w:r>
            <w:r w:rsidRPr="001A751E">
              <w:fldChar w:fldCharType="end"/>
            </w:r>
          </w:p>
        </w:tc>
        <w:tc>
          <w:tcPr>
            <w:tcW w:w="7654" w:type="dxa"/>
            <w:tcBorders>
              <w:left w:val="nil"/>
            </w:tcBorders>
          </w:tcPr>
          <w:p w:rsidR="00735662" w:rsidRPr="00352D70" w:rsidRDefault="00735662" w:rsidP="00F35713">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Andere </w:t>
            </w:r>
            <w:r w:rsidR="00F35713">
              <w:rPr>
                <w:szCs w:val="22"/>
              </w:rPr>
              <w:t xml:space="preserve">Tätigkeitsbereiche </w:t>
            </w:r>
            <w:r w:rsidR="006619E3">
              <w:rPr>
                <w:szCs w:val="22"/>
              </w:rPr>
              <w:t xml:space="preserve">gemäß Artikel 10a der Richtlinie 2003/87/EG </w:t>
            </w:r>
          </w:p>
        </w:tc>
      </w:tr>
      <w:tr w:rsidR="00735662" w:rsidRPr="001A751E" w:rsidTr="00100264">
        <w:trPr>
          <w:cantSplit/>
        </w:trPr>
        <w:tc>
          <w:tcPr>
            <w:tcW w:w="485" w:type="dxa"/>
            <w:tcBorders>
              <w:right w:val="nil"/>
            </w:tcBorders>
          </w:tcPr>
          <w:p w:rsidR="00735662"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735662" w:rsidRPr="001A751E">
              <w:instrText xml:space="preserve"> FORMCHECKBOX </w:instrText>
            </w:r>
            <w:r w:rsidR="000D2596">
              <w:fldChar w:fldCharType="separate"/>
            </w:r>
            <w:r w:rsidRPr="001A751E">
              <w:fldChar w:fldCharType="end"/>
            </w:r>
          </w:p>
        </w:tc>
        <w:tc>
          <w:tcPr>
            <w:tcW w:w="1211" w:type="dxa"/>
            <w:tcBorders>
              <w:left w:val="nil"/>
            </w:tcBorders>
          </w:tcPr>
          <w:p w:rsidR="00735662" w:rsidRPr="00352D70" w:rsidRDefault="00A22472" w:rsidP="00291772">
            <w:pPr>
              <w:pStyle w:val="Kopfzeile"/>
              <w:tabs>
                <w:tab w:val="clear" w:pos="4536"/>
                <w:tab w:val="clear" w:pos="9072"/>
                <w:tab w:val="left" w:pos="365"/>
              </w:tabs>
              <w:overflowPunct w:val="0"/>
              <w:autoSpaceDE w:val="0"/>
              <w:autoSpaceDN w:val="0"/>
              <w:adjustRightInd w:val="0"/>
              <w:textAlignment w:val="baseline"/>
              <w:rPr>
                <w:szCs w:val="22"/>
              </w:rPr>
            </w:pPr>
            <w:r>
              <w:rPr>
                <w:szCs w:val="22"/>
              </w:rPr>
              <w:t>99</w:t>
            </w:r>
          </w:p>
        </w:tc>
        <w:tc>
          <w:tcPr>
            <w:tcW w:w="426" w:type="dxa"/>
            <w:tcBorders>
              <w:right w:val="nil"/>
            </w:tcBorders>
          </w:tcPr>
          <w:p w:rsidR="00735662" w:rsidRPr="001A751E" w:rsidRDefault="00A66DCD" w:rsidP="00291772">
            <w:pPr>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00735662" w:rsidRPr="001A751E">
              <w:instrText xml:space="preserve"> FORMCHECKBOX </w:instrText>
            </w:r>
            <w:r w:rsidR="000D2596">
              <w:fldChar w:fldCharType="separate"/>
            </w:r>
            <w:r w:rsidRPr="001A751E">
              <w:fldChar w:fldCharType="end"/>
            </w:r>
          </w:p>
        </w:tc>
        <w:tc>
          <w:tcPr>
            <w:tcW w:w="7654" w:type="dxa"/>
            <w:tcBorders>
              <w:left w:val="nil"/>
            </w:tcBorders>
          </w:tcPr>
          <w:p w:rsidR="00735662" w:rsidRPr="00352D70" w:rsidRDefault="006619E3" w:rsidP="00291772">
            <w:pPr>
              <w:pStyle w:val="Kopfzeile"/>
              <w:tabs>
                <w:tab w:val="clear" w:pos="4536"/>
                <w:tab w:val="clear" w:pos="9072"/>
                <w:tab w:val="left" w:pos="365"/>
              </w:tabs>
              <w:overflowPunct w:val="0"/>
              <w:autoSpaceDE w:val="0"/>
              <w:autoSpaceDN w:val="0"/>
              <w:adjustRightInd w:val="0"/>
              <w:textAlignment w:val="baseline"/>
              <w:rPr>
                <w:szCs w:val="22"/>
              </w:rPr>
            </w:pPr>
            <w:r>
              <w:rPr>
                <w:szCs w:val="22"/>
              </w:rPr>
              <w:t>Andere</w:t>
            </w:r>
            <w:r w:rsidR="00F35713">
              <w:rPr>
                <w:szCs w:val="22"/>
              </w:rPr>
              <w:t>,</w:t>
            </w:r>
            <w:r>
              <w:rPr>
                <w:szCs w:val="22"/>
              </w:rPr>
              <w:t xml:space="preserve"> gemäß Artikel 24 der Richtlinie 2003/87/EG von einem Mitgliedstaat einbezogene Tätigkeiten, deren Einzelheiten in der Akkreditierungsurkunde anzugeben sind</w:t>
            </w:r>
          </w:p>
        </w:tc>
      </w:tr>
    </w:tbl>
    <w:p w:rsidR="002C4322" w:rsidRPr="00100264" w:rsidRDefault="002C4322"/>
    <w:tbl>
      <w:tblPr>
        <w:tblStyle w:val="Tabellengitternetz"/>
        <w:tblW w:w="9776" w:type="dxa"/>
        <w:tblBorders>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776"/>
      </w:tblGrid>
      <w:tr w:rsidR="0012028B" w:rsidRPr="001A751E" w:rsidTr="0012028B">
        <w:trPr>
          <w:cantSplit/>
        </w:trPr>
        <w:tc>
          <w:tcPr>
            <w:tcW w:w="9776" w:type="dxa"/>
            <w:tcBorders>
              <w:top w:val="single" w:sz="4" w:space="0" w:color="auto"/>
              <w:bottom w:val="single" w:sz="4" w:space="0" w:color="auto"/>
            </w:tcBorders>
          </w:tcPr>
          <w:p w:rsidR="0012028B" w:rsidRPr="00100264" w:rsidRDefault="0012028B" w:rsidP="0012028B">
            <w:pPr>
              <w:pStyle w:val="Kopfzeile"/>
              <w:tabs>
                <w:tab w:val="clear" w:pos="4536"/>
                <w:tab w:val="clear" w:pos="9072"/>
                <w:tab w:val="left" w:pos="365"/>
              </w:tabs>
              <w:spacing w:after="120"/>
              <w:ind w:left="397" w:hanging="397"/>
              <w:rPr>
                <w:b/>
              </w:rPr>
            </w:pPr>
            <w:r w:rsidRPr="00100264">
              <w:rPr>
                <w:b/>
              </w:rPr>
              <w:fldChar w:fldCharType="begin">
                <w:ffData>
                  <w:name w:val=""/>
                  <w:enabled/>
                  <w:calcOnExit w:val="0"/>
                  <w:checkBox>
                    <w:sizeAuto/>
                    <w:default w:val="0"/>
                    <w:checked w:val="0"/>
                  </w:checkBox>
                </w:ffData>
              </w:fldChar>
            </w:r>
            <w:r w:rsidRPr="00100264">
              <w:rPr>
                <w:b/>
              </w:rPr>
              <w:instrText xml:space="preserve"> FORMCHECKBOX </w:instrText>
            </w:r>
            <w:r w:rsidR="000D2596">
              <w:rPr>
                <w:b/>
              </w:rPr>
            </w:r>
            <w:r w:rsidR="000D2596">
              <w:rPr>
                <w:b/>
              </w:rPr>
              <w:fldChar w:fldCharType="separate"/>
            </w:r>
            <w:r w:rsidRPr="00100264">
              <w:rPr>
                <w:b/>
              </w:rPr>
              <w:fldChar w:fldCharType="end"/>
            </w:r>
            <w:r w:rsidRPr="00100264">
              <w:rPr>
                <w:b/>
                <w:szCs w:val="22"/>
              </w:rPr>
              <w:tab/>
            </w:r>
            <w:r w:rsidRPr="00100264">
              <w:rPr>
                <w:b/>
              </w:rPr>
              <w:t xml:space="preserve">Verifizierungsstelle zur Prüfung </w:t>
            </w:r>
            <w:r w:rsidR="00B13176">
              <w:rPr>
                <w:b/>
              </w:rPr>
              <w:t>von</w:t>
            </w:r>
            <w:r w:rsidRPr="00100264">
              <w:rPr>
                <w:b/>
              </w:rPr>
              <w:t xml:space="preserve"> Emission</w:t>
            </w:r>
            <w:r w:rsidR="00A9062A" w:rsidRPr="00100264">
              <w:rPr>
                <w:b/>
              </w:rPr>
              <w:t>sberichte</w:t>
            </w:r>
            <w:r w:rsidR="00B13176">
              <w:rPr>
                <w:b/>
              </w:rPr>
              <w:t>n</w:t>
            </w:r>
            <w:r w:rsidR="00A9062A" w:rsidRPr="00100264">
              <w:rPr>
                <w:b/>
              </w:rPr>
              <w:t xml:space="preserve"> </w:t>
            </w:r>
            <w:r w:rsidR="00531374" w:rsidRPr="00100264">
              <w:rPr>
                <w:b/>
              </w:rPr>
              <w:t>im nationalen Brennstoffemission</w:t>
            </w:r>
            <w:r w:rsidR="00A9062A" w:rsidRPr="00100264">
              <w:rPr>
                <w:b/>
              </w:rPr>
              <w:t xml:space="preserve">shandel </w:t>
            </w:r>
            <w:r w:rsidRPr="00100264">
              <w:rPr>
                <w:b/>
              </w:rPr>
              <w:t xml:space="preserve"> </w:t>
            </w:r>
          </w:p>
          <w:p w:rsidR="0012028B" w:rsidRPr="001A751E" w:rsidRDefault="00531374" w:rsidP="00A9062A">
            <w:pPr>
              <w:pStyle w:val="Kopfzeile"/>
              <w:tabs>
                <w:tab w:val="clear" w:pos="4536"/>
                <w:tab w:val="clear" w:pos="9072"/>
                <w:tab w:val="left" w:pos="365"/>
              </w:tabs>
            </w:pPr>
            <w:r w:rsidRPr="00100264">
              <w:t>Prüfung von Emissionsberichten</w:t>
            </w:r>
            <w:r w:rsidR="00286CB8" w:rsidRPr="00100264">
              <w:t xml:space="preserve"> gemäß § 15 Brennstoffemissionshandelsg</w:t>
            </w:r>
            <w:r w:rsidRPr="00100264">
              <w:t xml:space="preserve">esetz vom 12.12.2019 (BEHG) </w:t>
            </w:r>
            <w:r w:rsidR="00286CB8" w:rsidRPr="00100264">
              <w:t>im nationalen Brennstoffemission</w:t>
            </w:r>
            <w:r w:rsidR="00A9062A" w:rsidRPr="00100264">
              <w:t xml:space="preserve">shandel </w:t>
            </w:r>
            <w:r w:rsidR="00286CB8" w:rsidRPr="00100264">
              <w:t>gemäß Emissionsberichterstattungsverordnung 2030</w:t>
            </w:r>
            <w:r w:rsidRPr="00100264">
              <w:t xml:space="preserve"> vom 21.12.2022</w:t>
            </w:r>
            <w:r w:rsidR="00286CB8" w:rsidRPr="00100264">
              <w:t xml:space="preserve"> (EBeV 2030)</w:t>
            </w:r>
          </w:p>
        </w:tc>
      </w:tr>
    </w:tbl>
    <w:p w:rsidR="00100264" w:rsidRDefault="00100264"/>
    <w:tbl>
      <w:tblPr>
        <w:tblStyle w:val="Tabellengitternetz"/>
        <w:tblW w:w="9776" w:type="dxa"/>
        <w:tblBorders>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776"/>
      </w:tblGrid>
      <w:tr w:rsidR="0080003B" w:rsidRPr="001A751E" w:rsidTr="0012028B">
        <w:trPr>
          <w:cantSplit/>
        </w:trPr>
        <w:tc>
          <w:tcPr>
            <w:tcW w:w="9776" w:type="dxa"/>
            <w:tcBorders>
              <w:top w:val="single" w:sz="4" w:space="0" w:color="auto"/>
              <w:bottom w:val="single" w:sz="4" w:space="0" w:color="auto"/>
            </w:tcBorders>
          </w:tcPr>
          <w:p w:rsidR="0080003B" w:rsidRPr="00275C5A" w:rsidRDefault="0080003B" w:rsidP="00291772">
            <w:pPr>
              <w:pStyle w:val="Kopfzeile"/>
              <w:tabs>
                <w:tab w:val="clear" w:pos="4536"/>
                <w:tab w:val="clear" w:pos="9072"/>
                <w:tab w:val="left" w:pos="365"/>
              </w:tabs>
              <w:spacing w:after="120"/>
              <w:ind w:left="397" w:hanging="397"/>
              <w:rPr>
                <w:b/>
              </w:rPr>
            </w:pPr>
            <w:r w:rsidRPr="00275C5A">
              <w:rPr>
                <w:b/>
              </w:rPr>
              <w:fldChar w:fldCharType="begin">
                <w:ffData>
                  <w:name w:val=""/>
                  <w:enabled/>
                  <w:calcOnExit w:val="0"/>
                  <w:checkBox>
                    <w:sizeAuto/>
                    <w:default w:val="0"/>
                    <w:checked w:val="0"/>
                  </w:checkBox>
                </w:ffData>
              </w:fldChar>
            </w:r>
            <w:r w:rsidRPr="00275C5A">
              <w:rPr>
                <w:b/>
              </w:rPr>
              <w:instrText xml:space="preserve"> FORMCHECKBOX </w:instrText>
            </w:r>
            <w:r w:rsidR="000D2596">
              <w:rPr>
                <w:b/>
              </w:rPr>
            </w:r>
            <w:r w:rsidR="000D2596">
              <w:rPr>
                <w:b/>
              </w:rPr>
              <w:fldChar w:fldCharType="separate"/>
            </w:r>
            <w:r w:rsidRPr="00275C5A">
              <w:rPr>
                <w:b/>
              </w:rPr>
              <w:fldChar w:fldCharType="end"/>
            </w:r>
            <w:r w:rsidR="00291772">
              <w:rPr>
                <w:b/>
                <w:szCs w:val="22"/>
              </w:rPr>
              <w:tab/>
            </w:r>
            <w:r w:rsidRPr="00275C5A">
              <w:rPr>
                <w:b/>
              </w:rPr>
              <w:t xml:space="preserve">Verifizierungsstelle zur Prüfung </w:t>
            </w:r>
            <w:r w:rsidR="00A9062A">
              <w:rPr>
                <w:b/>
              </w:rPr>
              <w:t>von Monitoringplänen</w:t>
            </w:r>
            <w:r w:rsidR="00B65825">
              <w:rPr>
                <w:b/>
              </w:rPr>
              <w:t xml:space="preserve">, </w:t>
            </w:r>
            <w:r w:rsidR="005F2BA8">
              <w:rPr>
                <w:b/>
              </w:rPr>
              <w:t>Teil-/</w:t>
            </w:r>
            <w:r w:rsidRPr="00275C5A">
              <w:rPr>
                <w:b/>
              </w:rPr>
              <w:t>Emission</w:t>
            </w:r>
            <w:r w:rsidR="00A9062A">
              <w:rPr>
                <w:b/>
              </w:rPr>
              <w:t>sberichte</w:t>
            </w:r>
            <w:r w:rsidR="00B13176">
              <w:rPr>
                <w:b/>
              </w:rPr>
              <w:t>n</w:t>
            </w:r>
            <w:r w:rsidR="00A9062A">
              <w:rPr>
                <w:b/>
              </w:rPr>
              <w:t xml:space="preserve"> </w:t>
            </w:r>
            <w:r w:rsidR="005F2BA8">
              <w:rPr>
                <w:b/>
              </w:rPr>
              <w:t xml:space="preserve">von Schiffen und aggregierte Emissionsdaten auf Unternehmensebene </w:t>
            </w:r>
            <w:r w:rsidR="00A9062A">
              <w:rPr>
                <w:b/>
              </w:rPr>
              <w:t>im EU-</w:t>
            </w:r>
            <w:r w:rsidRPr="00275C5A">
              <w:rPr>
                <w:b/>
              </w:rPr>
              <w:t xml:space="preserve">Seeverkehr </w:t>
            </w:r>
          </w:p>
          <w:p w:rsidR="0080003B" w:rsidRPr="001A751E" w:rsidRDefault="00DC4E3B" w:rsidP="005F2BA8">
            <w:pPr>
              <w:pStyle w:val="Kopfzeile"/>
              <w:tabs>
                <w:tab w:val="clear" w:pos="4536"/>
                <w:tab w:val="clear" w:pos="9072"/>
                <w:tab w:val="left" w:pos="365"/>
              </w:tabs>
            </w:pPr>
            <w:r>
              <w:t xml:space="preserve">Prüfung </w:t>
            </w:r>
            <w:r w:rsidR="005F2BA8">
              <w:t xml:space="preserve">der </w:t>
            </w:r>
            <w:r>
              <w:t>Monitoringpläne</w:t>
            </w:r>
            <w:r w:rsidR="005F2BA8">
              <w:t>, Teil-/</w:t>
            </w:r>
            <w:r>
              <w:t>Emissionsberichte</w:t>
            </w:r>
            <w:r w:rsidR="005F2BA8">
              <w:t xml:space="preserve"> und </w:t>
            </w:r>
            <w:r w:rsidR="00B85053">
              <w:t>Gesamt-Emissionsberichte (</w:t>
            </w:r>
            <w:r w:rsidR="005F2BA8">
              <w:t>aggregierte Emissionsdaten auf Unternehmensebene</w:t>
            </w:r>
            <w:r w:rsidR="00B85053">
              <w:t>)</w:t>
            </w:r>
            <w:r>
              <w:t xml:space="preserve"> </w:t>
            </w:r>
            <w:r w:rsidR="00B65825">
              <w:t xml:space="preserve">gemäß </w:t>
            </w:r>
            <w:r w:rsidR="0080003B" w:rsidRPr="00275C5A">
              <w:t xml:space="preserve">Verordnung (EU) 2015/757 vom 29. April 2015 </w:t>
            </w:r>
            <w:r w:rsidR="00B65825">
              <w:t xml:space="preserve"> mit</w:t>
            </w:r>
            <w:r w:rsidR="00F35713">
              <w:t xml:space="preserve"> Änderungsverordnung (EU) 2023/957 vom 10. Mai 2023</w:t>
            </w:r>
            <w:r w:rsidR="00B65825">
              <w:t>.</w:t>
            </w:r>
            <w:r w:rsidR="00F35713">
              <w:t xml:space="preserve"> </w:t>
            </w:r>
          </w:p>
        </w:tc>
      </w:tr>
    </w:tbl>
    <w:p w:rsidR="002C4322" w:rsidRPr="00100264" w:rsidRDefault="002C4322" w:rsidP="00100264"/>
    <w:tbl>
      <w:tblPr>
        <w:tblStyle w:val="Tabellengitternetz"/>
        <w:tblW w:w="9776" w:type="dxa"/>
        <w:tblBorders>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776"/>
      </w:tblGrid>
      <w:tr w:rsidR="002C4322" w:rsidRPr="001A751E" w:rsidTr="00291772">
        <w:tc>
          <w:tcPr>
            <w:tcW w:w="9776" w:type="dxa"/>
          </w:tcPr>
          <w:p w:rsidR="008D715C" w:rsidRDefault="002C4322" w:rsidP="00291772">
            <w:pPr>
              <w:pStyle w:val="Kopfzeile"/>
              <w:tabs>
                <w:tab w:val="clear" w:pos="4536"/>
                <w:tab w:val="clear" w:pos="9072"/>
                <w:tab w:val="left" w:pos="365"/>
              </w:tabs>
              <w:spacing w:after="120"/>
              <w:ind w:left="397" w:hanging="397"/>
              <w:rPr>
                <w:b/>
              </w:rPr>
            </w:pPr>
            <w:r w:rsidRPr="00275C5A">
              <w:rPr>
                <w:b/>
              </w:rPr>
              <w:lastRenderedPageBreak/>
              <w:fldChar w:fldCharType="begin">
                <w:ffData>
                  <w:name w:val=""/>
                  <w:enabled/>
                  <w:calcOnExit w:val="0"/>
                  <w:checkBox>
                    <w:sizeAuto/>
                    <w:default w:val="0"/>
                    <w:checked w:val="0"/>
                  </w:checkBox>
                </w:ffData>
              </w:fldChar>
            </w:r>
            <w:r w:rsidRPr="00275C5A">
              <w:rPr>
                <w:b/>
              </w:rPr>
              <w:instrText xml:space="preserve"> FORMCHECKBOX </w:instrText>
            </w:r>
            <w:r w:rsidR="000D2596">
              <w:rPr>
                <w:b/>
              </w:rPr>
            </w:r>
            <w:r w:rsidR="000D2596">
              <w:rPr>
                <w:b/>
              </w:rPr>
              <w:fldChar w:fldCharType="separate"/>
            </w:r>
            <w:r w:rsidRPr="00275C5A">
              <w:rPr>
                <w:b/>
              </w:rPr>
              <w:fldChar w:fldCharType="end"/>
            </w:r>
            <w:r w:rsidR="00291772">
              <w:rPr>
                <w:b/>
                <w:szCs w:val="22"/>
              </w:rPr>
              <w:tab/>
            </w:r>
            <w:r w:rsidRPr="00275C5A">
              <w:rPr>
                <w:b/>
              </w:rPr>
              <w:t xml:space="preserve">Verifizierungsstelle </w:t>
            </w:r>
            <w:r w:rsidR="00A9062A">
              <w:rPr>
                <w:b/>
              </w:rPr>
              <w:t xml:space="preserve">zur Prüfung von Emissions- und Löschungsberichten </w:t>
            </w:r>
            <w:r w:rsidR="007B51C6">
              <w:rPr>
                <w:b/>
              </w:rPr>
              <w:t xml:space="preserve">gemäß </w:t>
            </w:r>
            <w:r w:rsidR="00622513">
              <w:rPr>
                <w:b/>
              </w:rPr>
              <w:t xml:space="preserve">des </w:t>
            </w:r>
            <w:r w:rsidR="008D715C">
              <w:rPr>
                <w:b/>
              </w:rPr>
              <w:t>CORSIA</w:t>
            </w:r>
            <w:r w:rsidR="00622513">
              <w:rPr>
                <w:b/>
              </w:rPr>
              <w:t xml:space="preserve">-Programms </w:t>
            </w:r>
            <w:r w:rsidR="007B51C6">
              <w:rPr>
                <w:b/>
              </w:rPr>
              <w:t xml:space="preserve"> </w:t>
            </w:r>
            <w:r w:rsidR="008D715C">
              <w:rPr>
                <w:b/>
              </w:rPr>
              <w:t>(</w:t>
            </w:r>
            <w:r w:rsidR="00B8147C" w:rsidRPr="00963992">
              <w:rPr>
                <w:b/>
              </w:rPr>
              <w:t>Carbon Offsetting and Reduction Scheme for International Aviation</w:t>
            </w:r>
            <w:r w:rsidR="00E77E44">
              <w:rPr>
                <w:b/>
              </w:rPr>
              <w:t>)</w:t>
            </w:r>
            <w:r w:rsidR="008D715C">
              <w:rPr>
                <w:b/>
              </w:rPr>
              <w:t xml:space="preserve"> de</w:t>
            </w:r>
            <w:r w:rsidR="00622513">
              <w:rPr>
                <w:b/>
              </w:rPr>
              <w:t xml:space="preserve">r International Civil Aviation Organisation (ICAO) </w:t>
            </w:r>
            <w:r w:rsidR="008D715C">
              <w:rPr>
                <w:b/>
              </w:rPr>
              <w:t xml:space="preserve"> </w:t>
            </w:r>
          </w:p>
          <w:p w:rsidR="002C4322" w:rsidRPr="00E77E44" w:rsidRDefault="00B8147C" w:rsidP="00B85053">
            <w:pPr>
              <w:pStyle w:val="Kopfzeile"/>
              <w:tabs>
                <w:tab w:val="clear" w:pos="4536"/>
                <w:tab w:val="clear" w:pos="9072"/>
                <w:tab w:val="left" w:pos="365"/>
              </w:tabs>
              <w:rPr>
                <w:b/>
              </w:rPr>
            </w:pPr>
            <w:r>
              <w:t xml:space="preserve">Prüfung von Emissions- und Löschungsberichten </w:t>
            </w:r>
            <w:r w:rsidR="007B51C6">
              <w:t xml:space="preserve">im internationalen Luftverkehr </w:t>
            </w:r>
            <w:r>
              <w:t>entsprechend de</w:t>
            </w:r>
            <w:r w:rsidR="006E24E6">
              <w:t>n</w:t>
            </w:r>
            <w:r>
              <w:t xml:space="preserve">  </w:t>
            </w:r>
            <w:r w:rsidR="000958C7">
              <w:t xml:space="preserve"> Standards and Recommended Practices </w:t>
            </w:r>
            <w:r w:rsidR="00622513">
              <w:t>(SARPs)  des</w:t>
            </w:r>
            <w:r>
              <w:t xml:space="preserve"> Annex 16 Volume IV </w:t>
            </w:r>
            <w:r w:rsidR="000958C7">
              <w:t xml:space="preserve"> Second Edition (July 2023) und dem Environmental Technical Manual (Doc 9501) Volume IV</w:t>
            </w:r>
            <w:r w:rsidR="00622513">
              <w:t xml:space="preserve"> (November 2023)</w:t>
            </w:r>
            <w:r w:rsidR="000958C7">
              <w:t xml:space="preserve"> </w:t>
            </w:r>
            <w:r>
              <w:t>sowie aller verbundener ICAO-Dokumente</w:t>
            </w:r>
            <w:r w:rsidR="00E77E44">
              <w:t xml:space="preserve"> in der jeweils gültigen und veröffentlichten Fassung</w:t>
            </w:r>
            <w:r w:rsidR="00B85053">
              <w:t>.</w:t>
            </w:r>
          </w:p>
        </w:tc>
      </w:tr>
    </w:tbl>
    <w:p w:rsidR="001B796B" w:rsidRPr="00100264" w:rsidRDefault="001B796B" w:rsidP="0010026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2"/>
        <w:gridCol w:w="9214"/>
      </w:tblGrid>
      <w:tr w:rsidR="001B796B" w:rsidRPr="001A751E" w:rsidTr="00551034">
        <w:trPr>
          <w:cantSplit/>
          <w:tblHeader/>
        </w:trPr>
        <w:tc>
          <w:tcPr>
            <w:tcW w:w="9776" w:type="dxa"/>
            <w:gridSpan w:val="2"/>
            <w:tcBorders>
              <w:bottom w:val="double" w:sz="4" w:space="0" w:color="auto"/>
            </w:tcBorders>
            <w:shd w:val="clear" w:color="auto" w:fill="FFFFFF" w:themeFill="background1"/>
            <w:vAlign w:val="center"/>
          </w:tcPr>
          <w:p w:rsidR="001B796B" w:rsidRPr="001A751E" w:rsidRDefault="001B796B" w:rsidP="00B13176">
            <w:pPr>
              <w:pStyle w:val="Kopfzeile"/>
              <w:tabs>
                <w:tab w:val="clear" w:pos="4536"/>
                <w:tab w:val="clear" w:pos="9072"/>
                <w:tab w:val="left" w:pos="365"/>
              </w:tabs>
              <w:overflowPunct w:val="0"/>
              <w:autoSpaceDE w:val="0"/>
              <w:autoSpaceDN w:val="0"/>
              <w:adjustRightInd w:val="0"/>
              <w:spacing w:after="120"/>
              <w:ind w:left="397" w:hanging="397"/>
              <w:textAlignment w:val="baseline"/>
            </w:pPr>
            <w:r w:rsidRPr="00291772">
              <w:rPr>
                <w:b/>
              </w:rPr>
              <w:fldChar w:fldCharType="begin">
                <w:ffData>
                  <w:name w:val=""/>
                  <w:enabled/>
                  <w:calcOnExit w:val="0"/>
                  <w:checkBox>
                    <w:sizeAuto/>
                    <w:default w:val="0"/>
                    <w:checked w:val="0"/>
                  </w:checkBox>
                </w:ffData>
              </w:fldChar>
            </w:r>
            <w:r w:rsidRPr="00291772">
              <w:rPr>
                <w:b/>
              </w:rPr>
              <w:instrText xml:space="preserve"> FORMCHECKBOX </w:instrText>
            </w:r>
            <w:r w:rsidR="000D2596">
              <w:rPr>
                <w:b/>
              </w:rPr>
            </w:r>
            <w:r w:rsidR="000D2596">
              <w:rPr>
                <w:b/>
              </w:rPr>
              <w:fldChar w:fldCharType="separate"/>
            </w:r>
            <w:r w:rsidRPr="00291772">
              <w:rPr>
                <w:b/>
              </w:rPr>
              <w:fldChar w:fldCharType="end"/>
            </w:r>
            <w:r w:rsidR="00291772" w:rsidRPr="00291772">
              <w:rPr>
                <w:b/>
              </w:rPr>
              <w:tab/>
            </w:r>
            <w:r w:rsidRPr="00291772">
              <w:rPr>
                <w:b/>
              </w:rPr>
              <w:t xml:space="preserve">Verifizierungsstelle </w:t>
            </w:r>
            <w:r w:rsidR="00B13176">
              <w:rPr>
                <w:b/>
              </w:rPr>
              <w:t>zur Prüfung von</w:t>
            </w:r>
            <w:r w:rsidR="007B51C6" w:rsidRPr="00DF7556">
              <w:rPr>
                <w:b/>
              </w:rPr>
              <w:t xml:space="preserve"> </w:t>
            </w:r>
            <w:r w:rsidRPr="00DF7556">
              <w:rPr>
                <w:b/>
              </w:rPr>
              <w:t>Treibhausgasemissions-Berichte auf Organisationsebene</w:t>
            </w:r>
            <w:r w:rsidR="00DF7556">
              <w:t xml:space="preserve"> gemäß DIN EN ISO 14064-1:2019 und DIN EN ISO 14064-3:2020 in folgenden Industriesektoren / Prozessen:</w:t>
            </w:r>
          </w:p>
        </w:tc>
      </w:tr>
      <w:tr w:rsidR="001B796B" w:rsidRPr="007F10CA" w:rsidTr="00551034">
        <w:trPr>
          <w:cantSplit/>
          <w:tblHeader/>
        </w:trPr>
        <w:tc>
          <w:tcPr>
            <w:tcW w:w="562" w:type="dxa"/>
            <w:tcBorders>
              <w:bottom w:val="double" w:sz="4" w:space="0" w:color="auto"/>
            </w:tcBorders>
            <w:shd w:val="clear" w:color="auto" w:fill="BFBFBF" w:themeFill="background1" w:themeFillShade="BF"/>
            <w:vAlign w:val="center"/>
          </w:tcPr>
          <w:p w:rsidR="001B796B" w:rsidRPr="007F10CA" w:rsidRDefault="001B796B" w:rsidP="00291772">
            <w:pPr>
              <w:pStyle w:val="Kopfzeile"/>
              <w:tabs>
                <w:tab w:val="clear" w:pos="4536"/>
                <w:tab w:val="clear" w:pos="9072"/>
                <w:tab w:val="left" w:pos="365"/>
              </w:tabs>
              <w:overflowPunct w:val="0"/>
              <w:autoSpaceDE w:val="0"/>
              <w:autoSpaceDN w:val="0"/>
              <w:adjustRightInd w:val="0"/>
              <w:textAlignment w:val="baseline"/>
              <w:rPr>
                <w:rFonts w:cs="EUAlbertina"/>
                <w:color w:val="000000"/>
                <w:szCs w:val="22"/>
              </w:rPr>
            </w:pPr>
          </w:p>
        </w:tc>
        <w:tc>
          <w:tcPr>
            <w:tcW w:w="9214" w:type="dxa"/>
            <w:tcBorders>
              <w:bottom w:val="double" w:sz="4" w:space="0" w:color="auto"/>
            </w:tcBorders>
            <w:shd w:val="clear" w:color="auto" w:fill="BFBFBF" w:themeFill="background1" w:themeFillShade="BF"/>
            <w:vAlign w:val="center"/>
          </w:tcPr>
          <w:p w:rsidR="001B796B" w:rsidRPr="008D67D6" w:rsidRDefault="008D67D6" w:rsidP="00291772">
            <w:pPr>
              <w:pStyle w:val="Kopfzeile"/>
              <w:tabs>
                <w:tab w:val="clear" w:pos="4536"/>
                <w:tab w:val="clear" w:pos="9072"/>
                <w:tab w:val="left" w:pos="365"/>
              </w:tabs>
              <w:rPr>
                <w:b/>
                <w:szCs w:val="22"/>
              </w:rPr>
            </w:pPr>
            <w:r w:rsidRPr="008D67D6">
              <w:rPr>
                <w:b/>
                <w:szCs w:val="22"/>
              </w:rPr>
              <w:t xml:space="preserve">Industriesektor / Prozesse </w:t>
            </w:r>
            <w:r>
              <w:rPr>
                <w:b/>
                <w:szCs w:val="22"/>
              </w:rPr>
              <w:t>(siehe auch IAF MD 14:2014 – Anhang A</w:t>
            </w:r>
            <w:r w:rsidR="0009023E">
              <w:rPr>
                <w:b/>
                <w:szCs w:val="22"/>
              </w:rPr>
              <w:t xml:space="preserve"> mit Beispielen</w:t>
            </w:r>
            <w:r>
              <w:rPr>
                <w:b/>
                <w:szCs w:val="22"/>
              </w:rPr>
              <w:t xml:space="preserve">) </w:t>
            </w:r>
          </w:p>
        </w:tc>
      </w:tr>
      <w:tr w:rsidR="001B796B" w:rsidRPr="001A751E" w:rsidTr="00551034">
        <w:trPr>
          <w:cantSplit/>
        </w:trPr>
        <w:tc>
          <w:tcPr>
            <w:tcW w:w="562" w:type="dxa"/>
            <w:tcBorders>
              <w:top w:val="double" w:sz="4" w:space="0" w:color="auto"/>
            </w:tcBorders>
          </w:tcPr>
          <w:p w:rsidR="001B796B" w:rsidRPr="00352D70" w:rsidRDefault="001B796B" w:rsidP="00291772">
            <w:pPr>
              <w:pStyle w:val="Kopfzeile"/>
              <w:tabs>
                <w:tab w:val="clear" w:pos="4536"/>
                <w:tab w:val="clear" w:pos="9072"/>
                <w:tab w:val="left" w:pos="365"/>
              </w:tabs>
              <w:overflowPunct w:val="0"/>
              <w:autoSpaceDE w:val="0"/>
              <w:autoSpaceDN w:val="0"/>
              <w:adjustRightInd w:val="0"/>
              <w:jc w:val="center"/>
              <w:textAlignment w:val="baseline"/>
              <w:rPr>
                <w:szCs w:val="22"/>
              </w:rPr>
            </w:pPr>
            <w:r w:rsidRPr="001A751E">
              <w:fldChar w:fldCharType="begin">
                <w:ffData>
                  <w:name w:val=""/>
                  <w:enabled/>
                  <w:calcOnExit w:val="0"/>
                  <w:checkBox>
                    <w:sizeAuto/>
                    <w:default w:val="0"/>
                    <w:checked w:val="0"/>
                  </w:checkBox>
                </w:ffData>
              </w:fldChar>
            </w:r>
            <w:r w:rsidRPr="001A751E">
              <w:instrText xml:space="preserve"> FORMCHECKBOX </w:instrText>
            </w:r>
            <w:r w:rsidR="000D2596">
              <w:fldChar w:fldCharType="separate"/>
            </w:r>
            <w:r w:rsidRPr="001A751E">
              <w:fldChar w:fldCharType="end"/>
            </w:r>
          </w:p>
        </w:tc>
        <w:tc>
          <w:tcPr>
            <w:tcW w:w="9214" w:type="dxa"/>
            <w:tcBorders>
              <w:top w:val="double" w:sz="4" w:space="0" w:color="auto"/>
            </w:tcBorders>
          </w:tcPr>
          <w:p w:rsidR="001B796B" w:rsidRPr="00352D70" w:rsidRDefault="008D67D6" w:rsidP="00291772">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Energieerzeugung und Umwandlung von elektrischer Energie </w:t>
            </w:r>
          </w:p>
        </w:tc>
      </w:tr>
      <w:tr w:rsidR="001B796B" w:rsidRPr="001A751E" w:rsidTr="00551034">
        <w:trPr>
          <w:cantSplit/>
        </w:trPr>
        <w:tc>
          <w:tcPr>
            <w:tcW w:w="562" w:type="dxa"/>
          </w:tcPr>
          <w:p w:rsidR="001B796B" w:rsidRPr="00352D70" w:rsidRDefault="001B796B" w:rsidP="00291772">
            <w:pPr>
              <w:pStyle w:val="Kopfzeile"/>
              <w:tabs>
                <w:tab w:val="clear" w:pos="4536"/>
                <w:tab w:val="clear" w:pos="9072"/>
                <w:tab w:val="left" w:pos="365"/>
              </w:tabs>
              <w:overflowPunct w:val="0"/>
              <w:autoSpaceDE w:val="0"/>
              <w:autoSpaceDN w:val="0"/>
              <w:adjustRightInd w:val="0"/>
              <w:jc w:val="center"/>
              <w:textAlignment w:val="baseline"/>
              <w:rPr>
                <w:szCs w:val="22"/>
              </w:rPr>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1B796B" w:rsidRPr="00352D70" w:rsidRDefault="0009023E" w:rsidP="001D63F8">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Allgemeine Herstellungsprozesse (physikalische oder chemische Transformation von Materialien </w:t>
            </w:r>
            <w:r w:rsidR="001D63F8">
              <w:rPr>
                <w:szCs w:val="22"/>
              </w:rPr>
              <w:br/>
            </w:r>
            <w:r>
              <w:rPr>
                <w:szCs w:val="22"/>
              </w:rPr>
              <w:t xml:space="preserve">oder Substanzen in neue Produkte) </w:t>
            </w:r>
          </w:p>
        </w:tc>
      </w:tr>
      <w:tr w:rsidR="001B796B" w:rsidRPr="001A751E" w:rsidTr="00551034">
        <w:trPr>
          <w:cantSplit/>
        </w:trPr>
        <w:tc>
          <w:tcPr>
            <w:tcW w:w="562" w:type="dxa"/>
            <w:tcBorders>
              <w:bottom w:val="single" w:sz="4" w:space="0" w:color="auto"/>
            </w:tcBorders>
          </w:tcPr>
          <w:p w:rsidR="001B796B" w:rsidRPr="001B796B" w:rsidRDefault="001B796B"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Borders>
              <w:bottom w:val="single" w:sz="4" w:space="0" w:color="auto"/>
            </w:tcBorders>
          </w:tcPr>
          <w:p w:rsidR="001B796B" w:rsidRPr="00352D70" w:rsidRDefault="0009023E" w:rsidP="001D63F8">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Erschließung und Förderung von Öl- und Gas, Extraktion, Produktion, Raffination einschließlich Petrochemische Produkte </w:t>
            </w:r>
          </w:p>
        </w:tc>
      </w:tr>
      <w:tr w:rsidR="0009023E" w:rsidRPr="001A751E" w:rsidTr="00551034">
        <w:trPr>
          <w:cantSplit/>
        </w:trPr>
        <w:tc>
          <w:tcPr>
            <w:tcW w:w="562" w:type="dxa"/>
          </w:tcPr>
          <w:p w:rsidR="0009023E" w:rsidRPr="001B796B"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09023E" w:rsidRPr="00352D70" w:rsidRDefault="0009023E" w:rsidP="00291772">
            <w:pPr>
              <w:pStyle w:val="Kopfzeile"/>
              <w:tabs>
                <w:tab w:val="clear" w:pos="4536"/>
                <w:tab w:val="clear" w:pos="9072"/>
                <w:tab w:val="left" w:pos="365"/>
              </w:tabs>
              <w:overflowPunct w:val="0"/>
              <w:autoSpaceDE w:val="0"/>
              <w:autoSpaceDN w:val="0"/>
              <w:adjustRightInd w:val="0"/>
              <w:textAlignment w:val="baseline"/>
              <w:rPr>
                <w:szCs w:val="22"/>
              </w:rPr>
            </w:pPr>
            <w:r>
              <w:rPr>
                <w:szCs w:val="22"/>
              </w:rPr>
              <w:t>Metallerzeugung (Eisen, Nicht-Eisen, Sekundäraluminium, Kokerei, Stahl, etc.)</w:t>
            </w:r>
          </w:p>
        </w:tc>
      </w:tr>
      <w:tr w:rsidR="0009023E" w:rsidRPr="001A751E" w:rsidTr="00551034">
        <w:trPr>
          <w:cantSplit/>
        </w:trPr>
        <w:tc>
          <w:tcPr>
            <w:tcW w:w="562" w:type="dxa"/>
          </w:tcPr>
          <w:p w:rsidR="0009023E" w:rsidRPr="001B796B"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09023E" w:rsidRPr="00352D70" w:rsidRDefault="0009023E" w:rsidP="00291772">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Aluminiumerzeugung </w:t>
            </w:r>
          </w:p>
        </w:tc>
      </w:tr>
      <w:tr w:rsidR="0009023E" w:rsidRPr="001A751E" w:rsidTr="00551034">
        <w:trPr>
          <w:cantSplit/>
        </w:trPr>
        <w:tc>
          <w:tcPr>
            <w:tcW w:w="562" w:type="dxa"/>
          </w:tcPr>
          <w:p w:rsidR="0009023E" w:rsidRPr="001A751E"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09023E" w:rsidRPr="00352D70" w:rsidRDefault="0009023E" w:rsidP="00291772">
            <w:pPr>
              <w:pStyle w:val="Kopfzeile"/>
              <w:tabs>
                <w:tab w:val="clear" w:pos="4536"/>
                <w:tab w:val="clear" w:pos="9072"/>
                <w:tab w:val="left" w:pos="365"/>
              </w:tabs>
              <w:overflowPunct w:val="0"/>
              <w:autoSpaceDE w:val="0"/>
              <w:autoSpaceDN w:val="0"/>
              <w:adjustRightInd w:val="0"/>
              <w:textAlignment w:val="baseline"/>
              <w:rPr>
                <w:szCs w:val="22"/>
              </w:rPr>
            </w:pPr>
            <w:r>
              <w:rPr>
                <w:szCs w:val="22"/>
              </w:rPr>
              <w:t>Herstellung mineralische Erzeugnisse (Zementklinker, Kalk, Glas, Keramik, Mineralwolle, etc.)</w:t>
            </w:r>
          </w:p>
        </w:tc>
      </w:tr>
      <w:tr w:rsidR="0009023E" w:rsidRPr="001A751E" w:rsidTr="00551034">
        <w:trPr>
          <w:cantSplit/>
        </w:trPr>
        <w:tc>
          <w:tcPr>
            <w:tcW w:w="562" w:type="dxa"/>
          </w:tcPr>
          <w:p w:rsidR="0009023E" w:rsidRPr="001A751E"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09023E" w:rsidRPr="00352D70" w:rsidRDefault="0009023E" w:rsidP="00291772">
            <w:pPr>
              <w:pStyle w:val="Kopfzeile"/>
              <w:tabs>
                <w:tab w:val="clear" w:pos="4536"/>
                <w:tab w:val="clear" w:pos="9072"/>
                <w:tab w:val="left" w:pos="365"/>
              </w:tabs>
              <w:overflowPunct w:val="0"/>
              <w:autoSpaceDE w:val="0"/>
              <w:autoSpaceDN w:val="0"/>
              <w:adjustRightInd w:val="0"/>
              <w:textAlignment w:val="baseline"/>
              <w:rPr>
                <w:szCs w:val="22"/>
              </w:rPr>
            </w:pPr>
            <w:r>
              <w:rPr>
                <w:szCs w:val="22"/>
              </w:rPr>
              <w:t>Papiererzeugung</w:t>
            </w:r>
          </w:p>
        </w:tc>
      </w:tr>
      <w:tr w:rsidR="0009023E" w:rsidRPr="001A751E" w:rsidTr="00551034">
        <w:trPr>
          <w:cantSplit/>
        </w:trPr>
        <w:tc>
          <w:tcPr>
            <w:tcW w:w="562" w:type="dxa"/>
          </w:tcPr>
          <w:p w:rsidR="0009023E" w:rsidRPr="001A751E"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09023E" w:rsidRPr="00352D70" w:rsidRDefault="009D4F1D" w:rsidP="00291772">
            <w:pPr>
              <w:pStyle w:val="Kopfzeile"/>
              <w:tabs>
                <w:tab w:val="clear" w:pos="4536"/>
                <w:tab w:val="clear" w:pos="9072"/>
                <w:tab w:val="left" w:pos="365"/>
              </w:tabs>
              <w:overflowPunct w:val="0"/>
              <w:autoSpaceDE w:val="0"/>
              <w:autoSpaceDN w:val="0"/>
              <w:adjustRightInd w:val="0"/>
              <w:textAlignment w:val="baseline"/>
              <w:rPr>
                <w:szCs w:val="22"/>
              </w:rPr>
            </w:pPr>
            <w:r>
              <w:rPr>
                <w:szCs w:val="22"/>
              </w:rPr>
              <w:t>Chemische Produktion</w:t>
            </w:r>
          </w:p>
        </w:tc>
      </w:tr>
      <w:tr w:rsidR="0009023E" w:rsidRPr="001A751E" w:rsidTr="00551034">
        <w:trPr>
          <w:cantSplit/>
        </w:trPr>
        <w:tc>
          <w:tcPr>
            <w:tcW w:w="562" w:type="dxa"/>
          </w:tcPr>
          <w:p w:rsidR="0009023E" w:rsidRPr="001A751E"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09023E" w:rsidRPr="00352D70" w:rsidRDefault="009D4F1D" w:rsidP="00291772">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Abscheidung und Speicherung von Treibhausgasen </w:t>
            </w:r>
          </w:p>
        </w:tc>
      </w:tr>
      <w:tr w:rsidR="0009023E" w:rsidRPr="001A751E" w:rsidTr="00551034">
        <w:trPr>
          <w:cantSplit/>
        </w:trPr>
        <w:tc>
          <w:tcPr>
            <w:tcW w:w="562" w:type="dxa"/>
          </w:tcPr>
          <w:p w:rsidR="0009023E" w:rsidRPr="001A751E"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09023E" w:rsidRPr="00352D70" w:rsidRDefault="009D4F1D" w:rsidP="00291772">
            <w:pPr>
              <w:pStyle w:val="Kopfzeile"/>
              <w:tabs>
                <w:tab w:val="clear" w:pos="4536"/>
                <w:tab w:val="clear" w:pos="9072"/>
                <w:tab w:val="left" w:pos="365"/>
              </w:tabs>
              <w:overflowPunct w:val="0"/>
              <w:autoSpaceDE w:val="0"/>
              <w:autoSpaceDN w:val="0"/>
              <w:adjustRightInd w:val="0"/>
              <w:textAlignment w:val="baseline"/>
              <w:rPr>
                <w:szCs w:val="22"/>
              </w:rPr>
            </w:pPr>
            <w:r>
              <w:rPr>
                <w:szCs w:val="22"/>
              </w:rPr>
              <w:t>Transportwesen</w:t>
            </w:r>
          </w:p>
        </w:tc>
      </w:tr>
      <w:tr w:rsidR="0009023E" w:rsidRPr="001A751E" w:rsidTr="00551034">
        <w:trPr>
          <w:cantSplit/>
        </w:trPr>
        <w:tc>
          <w:tcPr>
            <w:tcW w:w="562" w:type="dxa"/>
          </w:tcPr>
          <w:p w:rsidR="0009023E" w:rsidRPr="001A751E"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09023E" w:rsidRPr="00352D70" w:rsidRDefault="009D4F1D" w:rsidP="00291772">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Abfallbehandlung und Ablagerung </w:t>
            </w:r>
          </w:p>
        </w:tc>
      </w:tr>
      <w:tr w:rsidR="0009023E" w:rsidRPr="001A751E" w:rsidTr="00551034">
        <w:trPr>
          <w:cantSplit/>
        </w:trPr>
        <w:tc>
          <w:tcPr>
            <w:tcW w:w="562" w:type="dxa"/>
          </w:tcPr>
          <w:p w:rsidR="0009023E" w:rsidRPr="001A751E"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09023E" w:rsidRPr="00352D70" w:rsidRDefault="009D4F1D" w:rsidP="001D63F8">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Land- und Forstwirtschaft sowie andere Landnutzung, Fischerei </w:t>
            </w:r>
          </w:p>
        </w:tc>
      </w:tr>
      <w:tr w:rsidR="0009023E" w:rsidRPr="001A751E" w:rsidTr="00551034">
        <w:trPr>
          <w:cantSplit/>
        </w:trPr>
        <w:tc>
          <w:tcPr>
            <w:tcW w:w="562" w:type="dxa"/>
          </w:tcPr>
          <w:p w:rsidR="0009023E" w:rsidRPr="001B796B" w:rsidRDefault="0009023E" w:rsidP="00291772">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09023E" w:rsidRPr="00352D70" w:rsidRDefault="009D4F1D" w:rsidP="00291772">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Facility Management, Betrieb von Gebäuden und Infrastruktur, etc. </w:t>
            </w:r>
          </w:p>
        </w:tc>
      </w:tr>
    </w:tbl>
    <w:p w:rsidR="00291772" w:rsidRPr="00100264" w:rsidRDefault="00291772" w:rsidP="0010026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2"/>
        <w:gridCol w:w="9214"/>
      </w:tblGrid>
      <w:tr w:rsidR="008D67D6" w:rsidRPr="001A751E" w:rsidTr="00551034">
        <w:trPr>
          <w:cantSplit/>
          <w:tblHeader/>
        </w:trPr>
        <w:tc>
          <w:tcPr>
            <w:tcW w:w="9776" w:type="dxa"/>
            <w:gridSpan w:val="2"/>
            <w:tcBorders>
              <w:bottom w:val="double" w:sz="4" w:space="0" w:color="auto"/>
            </w:tcBorders>
            <w:shd w:val="clear" w:color="auto" w:fill="FFFFFF" w:themeFill="background1"/>
            <w:vAlign w:val="center"/>
          </w:tcPr>
          <w:p w:rsidR="008D67D6" w:rsidRPr="001A751E" w:rsidRDefault="008D67D6" w:rsidP="00B13176">
            <w:pPr>
              <w:pStyle w:val="Kopfzeile"/>
              <w:tabs>
                <w:tab w:val="clear" w:pos="4536"/>
                <w:tab w:val="clear" w:pos="9072"/>
              </w:tabs>
              <w:overflowPunct w:val="0"/>
              <w:autoSpaceDE w:val="0"/>
              <w:autoSpaceDN w:val="0"/>
              <w:adjustRightInd w:val="0"/>
              <w:spacing w:after="120"/>
              <w:ind w:left="397" w:hanging="397"/>
              <w:textAlignment w:val="baseline"/>
            </w:pPr>
            <w:r w:rsidRPr="001A751E">
              <w:fldChar w:fldCharType="begin">
                <w:ffData>
                  <w:name w:val=""/>
                  <w:enabled/>
                  <w:calcOnExit w:val="0"/>
                  <w:checkBox>
                    <w:sizeAuto/>
                    <w:default w:val="0"/>
                    <w:checked w:val="0"/>
                  </w:checkBox>
                </w:ffData>
              </w:fldChar>
            </w:r>
            <w:r w:rsidRPr="001A751E">
              <w:instrText xml:space="preserve"> FORMCHECKBOX </w:instrText>
            </w:r>
            <w:r w:rsidR="000D2596">
              <w:fldChar w:fldCharType="separate"/>
            </w:r>
            <w:r w:rsidRPr="001A751E">
              <w:fldChar w:fldCharType="end"/>
            </w:r>
            <w:r w:rsidR="00551034">
              <w:rPr>
                <w:b/>
                <w:szCs w:val="22"/>
              </w:rPr>
              <w:tab/>
            </w:r>
            <w:r>
              <w:rPr>
                <w:b/>
                <w:szCs w:val="22"/>
              </w:rPr>
              <w:t>Verifizierungs-/Validierungsstelle</w:t>
            </w:r>
            <w:r w:rsidR="00DF7556">
              <w:rPr>
                <w:b/>
                <w:szCs w:val="22"/>
              </w:rPr>
              <w:t xml:space="preserve"> </w:t>
            </w:r>
            <w:r w:rsidR="00B13176">
              <w:rPr>
                <w:b/>
                <w:szCs w:val="22"/>
              </w:rPr>
              <w:t>zur Prüfung von</w:t>
            </w:r>
            <w:r w:rsidR="00B85053">
              <w:rPr>
                <w:b/>
                <w:szCs w:val="22"/>
              </w:rPr>
              <w:t xml:space="preserve"> </w:t>
            </w:r>
            <w:r w:rsidR="00DF7556" w:rsidRPr="00DF7556">
              <w:rPr>
                <w:b/>
              </w:rPr>
              <w:t>Treibhausgasemissions-Berichte auf Projektebene</w:t>
            </w:r>
            <w:r w:rsidR="00DF7556">
              <w:t xml:space="preserve"> (</w:t>
            </w:r>
            <w:r w:rsidR="00DF7556" w:rsidRPr="00E23F20">
              <w:t>Reduktionen der Treibhausgasemissionen oder Steigerungen des Entzugs von Treibhausgasen</w:t>
            </w:r>
            <w:r w:rsidR="00DF7556">
              <w:t>)</w:t>
            </w:r>
            <w:r>
              <w:rPr>
                <w:b/>
                <w:szCs w:val="22"/>
              </w:rPr>
              <w:t xml:space="preserve"> </w:t>
            </w:r>
            <w:r>
              <w:rPr>
                <w:szCs w:val="22"/>
              </w:rPr>
              <w:t xml:space="preserve">gemäß </w:t>
            </w:r>
            <w:r>
              <w:t>DIN EN ISO 14064-2</w:t>
            </w:r>
            <w:r w:rsidR="00DF7556">
              <w:t>:2020 und DIN EN ISO 14064-3:2020 in folgenden Industriesektoren / Prozessen</w:t>
            </w:r>
            <w:r>
              <w:t xml:space="preserve">: </w:t>
            </w:r>
          </w:p>
        </w:tc>
      </w:tr>
      <w:tr w:rsidR="008D67D6" w:rsidRPr="007F10CA" w:rsidTr="00551034">
        <w:trPr>
          <w:cantSplit/>
          <w:tblHeader/>
        </w:trPr>
        <w:tc>
          <w:tcPr>
            <w:tcW w:w="562" w:type="dxa"/>
            <w:tcBorders>
              <w:bottom w:val="double" w:sz="4" w:space="0" w:color="auto"/>
            </w:tcBorders>
            <w:shd w:val="clear" w:color="auto" w:fill="BFBFBF" w:themeFill="background1" w:themeFillShade="BF"/>
            <w:vAlign w:val="center"/>
          </w:tcPr>
          <w:p w:rsidR="008D67D6" w:rsidRPr="007F10CA" w:rsidRDefault="008D67D6" w:rsidP="00551034">
            <w:pPr>
              <w:pStyle w:val="Kopfzeile"/>
              <w:tabs>
                <w:tab w:val="clear" w:pos="4536"/>
                <w:tab w:val="clear" w:pos="9072"/>
                <w:tab w:val="left" w:pos="365"/>
              </w:tabs>
              <w:overflowPunct w:val="0"/>
              <w:autoSpaceDE w:val="0"/>
              <w:autoSpaceDN w:val="0"/>
              <w:adjustRightInd w:val="0"/>
              <w:textAlignment w:val="baseline"/>
              <w:rPr>
                <w:rFonts w:cs="EUAlbertina"/>
                <w:color w:val="000000"/>
                <w:szCs w:val="22"/>
              </w:rPr>
            </w:pPr>
          </w:p>
        </w:tc>
        <w:tc>
          <w:tcPr>
            <w:tcW w:w="9214" w:type="dxa"/>
            <w:tcBorders>
              <w:bottom w:val="double" w:sz="4" w:space="0" w:color="auto"/>
            </w:tcBorders>
            <w:shd w:val="clear" w:color="auto" w:fill="BFBFBF" w:themeFill="background1" w:themeFillShade="BF"/>
            <w:vAlign w:val="center"/>
          </w:tcPr>
          <w:p w:rsidR="008D67D6" w:rsidRPr="007F10CA" w:rsidRDefault="009D4F1D" w:rsidP="00551034">
            <w:pPr>
              <w:pStyle w:val="Kopfzeile"/>
              <w:tabs>
                <w:tab w:val="clear" w:pos="4536"/>
                <w:tab w:val="clear" w:pos="9072"/>
                <w:tab w:val="left" w:pos="365"/>
              </w:tabs>
              <w:rPr>
                <w:szCs w:val="22"/>
              </w:rPr>
            </w:pPr>
            <w:r w:rsidRPr="008D67D6">
              <w:rPr>
                <w:b/>
                <w:szCs w:val="22"/>
              </w:rPr>
              <w:t xml:space="preserve">Industriesektor / Prozesse </w:t>
            </w:r>
            <w:r>
              <w:rPr>
                <w:b/>
                <w:szCs w:val="22"/>
              </w:rPr>
              <w:t>(siehe auch IAF MD 14:2014 – Anhang A mit Beispielen)</w:t>
            </w:r>
          </w:p>
        </w:tc>
      </w:tr>
      <w:tr w:rsidR="008D67D6" w:rsidRPr="001A751E" w:rsidTr="00551034">
        <w:trPr>
          <w:cantSplit/>
        </w:trPr>
        <w:tc>
          <w:tcPr>
            <w:tcW w:w="562" w:type="dxa"/>
            <w:tcBorders>
              <w:top w:val="double" w:sz="4" w:space="0" w:color="auto"/>
            </w:tcBorders>
          </w:tcPr>
          <w:p w:rsidR="008D67D6" w:rsidRPr="00352D70" w:rsidRDefault="008D67D6" w:rsidP="00551034">
            <w:pPr>
              <w:pStyle w:val="Kopfzeile"/>
              <w:tabs>
                <w:tab w:val="clear" w:pos="4536"/>
                <w:tab w:val="clear" w:pos="9072"/>
                <w:tab w:val="left" w:pos="365"/>
              </w:tabs>
              <w:overflowPunct w:val="0"/>
              <w:autoSpaceDE w:val="0"/>
              <w:autoSpaceDN w:val="0"/>
              <w:adjustRightInd w:val="0"/>
              <w:jc w:val="center"/>
              <w:textAlignment w:val="baseline"/>
              <w:rPr>
                <w:szCs w:val="22"/>
              </w:rPr>
            </w:pPr>
            <w:r w:rsidRPr="001A751E">
              <w:fldChar w:fldCharType="begin">
                <w:ffData>
                  <w:name w:val=""/>
                  <w:enabled/>
                  <w:calcOnExit w:val="0"/>
                  <w:checkBox>
                    <w:sizeAuto/>
                    <w:default w:val="0"/>
                    <w:checked w:val="0"/>
                  </w:checkBox>
                </w:ffData>
              </w:fldChar>
            </w:r>
            <w:r w:rsidRPr="001A751E">
              <w:instrText xml:space="preserve"> FORMCHECKBOX </w:instrText>
            </w:r>
            <w:r w:rsidR="000D2596">
              <w:fldChar w:fldCharType="separate"/>
            </w:r>
            <w:r w:rsidRPr="001A751E">
              <w:fldChar w:fldCharType="end"/>
            </w:r>
          </w:p>
        </w:tc>
        <w:tc>
          <w:tcPr>
            <w:tcW w:w="9214" w:type="dxa"/>
            <w:tcBorders>
              <w:top w:val="double" w:sz="4" w:space="0" w:color="auto"/>
            </w:tcBorders>
          </w:tcPr>
          <w:p w:rsidR="008D67D6" w:rsidRPr="00352D70" w:rsidRDefault="009D4F1D"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Energieerzeugung einschl. Energie aus erneuerbaren Quellen. </w:t>
            </w:r>
          </w:p>
        </w:tc>
      </w:tr>
      <w:tr w:rsidR="008D67D6" w:rsidRPr="001A751E" w:rsidTr="00551034">
        <w:trPr>
          <w:cantSplit/>
        </w:trPr>
        <w:tc>
          <w:tcPr>
            <w:tcW w:w="562" w:type="dxa"/>
          </w:tcPr>
          <w:p w:rsidR="008D67D6" w:rsidRPr="00352D70" w:rsidRDefault="008D67D6" w:rsidP="00551034">
            <w:pPr>
              <w:pStyle w:val="Kopfzeile"/>
              <w:tabs>
                <w:tab w:val="clear" w:pos="4536"/>
                <w:tab w:val="clear" w:pos="9072"/>
                <w:tab w:val="left" w:pos="365"/>
              </w:tabs>
              <w:overflowPunct w:val="0"/>
              <w:autoSpaceDE w:val="0"/>
              <w:autoSpaceDN w:val="0"/>
              <w:adjustRightInd w:val="0"/>
              <w:jc w:val="center"/>
              <w:textAlignment w:val="baseline"/>
              <w:rPr>
                <w:szCs w:val="22"/>
              </w:rPr>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8D67D6" w:rsidRPr="00352D70" w:rsidRDefault="005566B4"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Energieverteilung </w:t>
            </w:r>
          </w:p>
        </w:tc>
      </w:tr>
      <w:tr w:rsidR="008D67D6" w:rsidRPr="001A751E" w:rsidTr="00551034">
        <w:trPr>
          <w:cantSplit/>
        </w:trPr>
        <w:tc>
          <w:tcPr>
            <w:tcW w:w="562" w:type="dxa"/>
            <w:tcBorders>
              <w:bottom w:val="single" w:sz="4" w:space="0" w:color="auto"/>
            </w:tcBorders>
          </w:tcPr>
          <w:p w:rsidR="008D67D6" w:rsidRPr="001B796B" w:rsidRDefault="008D67D6"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Borders>
              <w:bottom w:val="single" w:sz="4" w:space="0" w:color="auto"/>
            </w:tcBorders>
          </w:tcPr>
          <w:p w:rsidR="008D67D6" w:rsidRPr="00352D70" w:rsidRDefault="005566B4"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Energieverbrauch</w:t>
            </w:r>
          </w:p>
        </w:tc>
      </w:tr>
      <w:tr w:rsidR="005566B4" w:rsidRPr="001A751E" w:rsidTr="00551034">
        <w:trPr>
          <w:cantSplit/>
        </w:trPr>
        <w:tc>
          <w:tcPr>
            <w:tcW w:w="562" w:type="dxa"/>
          </w:tcPr>
          <w:p w:rsidR="005566B4" w:rsidRPr="001B796B" w:rsidRDefault="005566B4"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5566B4" w:rsidRPr="00352D70" w:rsidRDefault="005566B4"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Herstellende Industrie </w:t>
            </w:r>
          </w:p>
        </w:tc>
      </w:tr>
      <w:tr w:rsidR="005566B4" w:rsidRPr="001A751E" w:rsidTr="00551034">
        <w:trPr>
          <w:cantSplit/>
        </w:trPr>
        <w:tc>
          <w:tcPr>
            <w:tcW w:w="562" w:type="dxa"/>
          </w:tcPr>
          <w:p w:rsidR="005566B4" w:rsidRPr="001B796B" w:rsidRDefault="005566B4"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5566B4" w:rsidRPr="00352D70" w:rsidRDefault="005566B4"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Chemische Industrie </w:t>
            </w:r>
          </w:p>
        </w:tc>
      </w:tr>
      <w:tr w:rsidR="005566B4" w:rsidRPr="001A751E" w:rsidTr="00551034">
        <w:trPr>
          <w:cantSplit/>
        </w:trPr>
        <w:tc>
          <w:tcPr>
            <w:tcW w:w="562" w:type="dxa"/>
          </w:tcPr>
          <w:p w:rsidR="005566B4" w:rsidRPr="001A751E" w:rsidRDefault="005566B4"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5566B4" w:rsidRPr="00352D70" w:rsidRDefault="005566B4"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Bauindustrie, Baugewerbe </w:t>
            </w:r>
          </w:p>
        </w:tc>
      </w:tr>
      <w:tr w:rsidR="005566B4" w:rsidRPr="001A751E" w:rsidTr="00551034">
        <w:trPr>
          <w:cantSplit/>
        </w:trPr>
        <w:tc>
          <w:tcPr>
            <w:tcW w:w="562" w:type="dxa"/>
          </w:tcPr>
          <w:p w:rsidR="005566B4" w:rsidRPr="001A751E" w:rsidRDefault="005566B4" w:rsidP="00551034">
            <w:pPr>
              <w:pStyle w:val="Kopfzeile"/>
              <w:tabs>
                <w:tab w:val="clear" w:pos="4536"/>
                <w:tab w:val="clear" w:pos="9072"/>
                <w:tab w:val="left" w:pos="365"/>
              </w:tabs>
              <w:overflowPunct w:val="0"/>
              <w:autoSpaceDE w:val="0"/>
              <w:autoSpaceDN w:val="0"/>
              <w:adjustRightInd w:val="0"/>
              <w:jc w:val="center"/>
              <w:textAlignment w:val="baseline"/>
            </w:pPr>
            <w:r w:rsidRPr="001A751E">
              <w:lastRenderedPageBreak/>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5566B4" w:rsidRPr="00352D70" w:rsidRDefault="005566B4"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Transport</w:t>
            </w:r>
          </w:p>
        </w:tc>
      </w:tr>
      <w:tr w:rsidR="005566B4" w:rsidRPr="001A751E" w:rsidTr="00551034">
        <w:trPr>
          <w:cantSplit/>
        </w:trPr>
        <w:tc>
          <w:tcPr>
            <w:tcW w:w="562" w:type="dxa"/>
          </w:tcPr>
          <w:p w:rsidR="005566B4" w:rsidRPr="001A751E" w:rsidRDefault="005566B4"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5566B4" w:rsidRPr="00352D70" w:rsidRDefault="005566B4"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Bergbau und Herstellung mineralischer Produkte </w:t>
            </w:r>
          </w:p>
        </w:tc>
      </w:tr>
      <w:tr w:rsidR="005566B4" w:rsidRPr="001A751E" w:rsidTr="00551034">
        <w:trPr>
          <w:cantSplit/>
        </w:trPr>
        <w:tc>
          <w:tcPr>
            <w:tcW w:w="562" w:type="dxa"/>
          </w:tcPr>
          <w:p w:rsidR="005566B4" w:rsidRPr="001A751E" w:rsidRDefault="005566B4"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5566B4" w:rsidRPr="00352D70" w:rsidRDefault="005566B4"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Metallerzeugung, alle Metalle  </w:t>
            </w:r>
          </w:p>
        </w:tc>
      </w:tr>
      <w:tr w:rsidR="00223AE9" w:rsidRPr="001A751E" w:rsidTr="00551034">
        <w:trPr>
          <w:cantSplit/>
        </w:trPr>
        <w:tc>
          <w:tcPr>
            <w:tcW w:w="562" w:type="dxa"/>
          </w:tcPr>
          <w:p w:rsidR="00223AE9" w:rsidRPr="001A751E" w:rsidRDefault="00223AE9"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223AE9" w:rsidRPr="00352D70" w:rsidRDefault="00223AE9"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Flüchtige Emissionen von Treibstoffen (fest, Öl, Gas) </w:t>
            </w:r>
          </w:p>
        </w:tc>
      </w:tr>
      <w:tr w:rsidR="00223AE9" w:rsidRPr="001A751E" w:rsidTr="00551034">
        <w:trPr>
          <w:cantSplit/>
        </w:trPr>
        <w:tc>
          <w:tcPr>
            <w:tcW w:w="562" w:type="dxa"/>
          </w:tcPr>
          <w:p w:rsidR="00223AE9" w:rsidRPr="001A751E" w:rsidRDefault="00223AE9"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223AE9" w:rsidRPr="00352D70" w:rsidRDefault="00223AE9"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Flüchtige Emissionen aus der Herstellung und Verbrauch von Halogenkohlenwasserstoffe und Schwefelhexafluorid (aus chemischen Industrieprozessen und Abscheidung / Abbau von Treibhausgasen)</w:t>
            </w:r>
          </w:p>
        </w:tc>
      </w:tr>
      <w:tr w:rsidR="00223AE9" w:rsidRPr="001A751E" w:rsidTr="00551034">
        <w:trPr>
          <w:cantSplit/>
        </w:trPr>
        <w:tc>
          <w:tcPr>
            <w:tcW w:w="562" w:type="dxa"/>
          </w:tcPr>
          <w:p w:rsidR="00223AE9" w:rsidRPr="001A751E" w:rsidRDefault="00223AE9"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223AE9" w:rsidRPr="00352D70" w:rsidRDefault="002C4322"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Verwendung von Lösemitteln in chemischen Industrieprozessen  </w:t>
            </w:r>
          </w:p>
        </w:tc>
      </w:tr>
      <w:tr w:rsidR="002C4322" w:rsidRPr="001A751E" w:rsidTr="00551034">
        <w:trPr>
          <w:cantSplit/>
        </w:trPr>
        <w:tc>
          <w:tcPr>
            <w:tcW w:w="562" w:type="dxa"/>
          </w:tcPr>
          <w:p w:rsidR="002C4322" w:rsidRPr="001A751E" w:rsidRDefault="002C4322"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2C4322" w:rsidRPr="00352D70" w:rsidRDefault="002C4322"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Abfallbehandlung und Ablagerung </w:t>
            </w:r>
          </w:p>
        </w:tc>
      </w:tr>
      <w:tr w:rsidR="002C4322" w:rsidRPr="001A751E" w:rsidTr="00551034">
        <w:trPr>
          <w:cantSplit/>
        </w:trPr>
        <w:tc>
          <w:tcPr>
            <w:tcW w:w="562" w:type="dxa"/>
          </w:tcPr>
          <w:p w:rsidR="002C4322" w:rsidRPr="001A751E" w:rsidRDefault="002C4322"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2C4322" w:rsidRPr="00352D70" w:rsidRDefault="002C4322"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Aufforstung / Wiederaufforstung </w:t>
            </w:r>
          </w:p>
        </w:tc>
      </w:tr>
      <w:tr w:rsidR="002C4322" w:rsidRPr="001A751E" w:rsidTr="00551034">
        <w:trPr>
          <w:cantSplit/>
        </w:trPr>
        <w:tc>
          <w:tcPr>
            <w:tcW w:w="562" w:type="dxa"/>
          </w:tcPr>
          <w:p w:rsidR="002C4322" w:rsidRPr="001A751E" w:rsidRDefault="002C4322"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2C4322" w:rsidRPr="00352D70" w:rsidRDefault="002C4322"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 xml:space="preserve">Landwirtschaft </w:t>
            </w:r>
          </w:p>
        </w:tc>
      </w:tr>
      <w:tr w:rsidR="002C4322" w:rsidRPr="001A751E" w:rsidTr="00551034">
        <w:trPr>
          <w:cantSplit/>
        </w:trPr>
        <w:tc>
          <w:tcPr>
            <w:tcW w:w="562" w:type="dxa"/>
          </w:tcPr>
          <w:p w:rsidR="002C4322" w:rsidRPr="001B796B" w:rsidRDefault="002C4322" w:rsidP="00551034">
            <w:pPr>
              <w:pStyle w:val="Kopfzeile"/>
              <w:tabs>
                <w:tab w:val="clear" w:pos="4536"/>
                <w:tab w:val="clear" w:pos="9072"/>
                <w:tab w:val="left" w:pos="365"/>
              </w:tabs>
              <w:overflowPunct w:val="0"/>
              <w:autoSpaceDE w:val="0"/>
              <w:autoSpaceDN w:val="0"/>
              <w:adjustRightInd w:val="0"/>
              <w:jc w:val="center"/>
              <w:textAlignment w:val="baseline"/>
            </w:pPr>
            <w:r w:rsidRPr="001A751E">
              <w:fldChar w:fldCharType="begin">
                <w:ffData>
                  <w:name w:val=""/>
                  <w:enabled/>
                  <w:calcOnExit w:val="0"/>
                  <w:checkBox>
                    <w:sizeAuto/>
                    <w:default w:val="0"/>
                  </w:checkBox>
                </w:ffData>
              </w:fldChar>
            </w:r>
            <w:r w:rsidRPr="001A751E">
              <w:instrText xml:space="preserve"> FORMCHECKBOX </w:instrText>
            </w:r>
            <w:r w:rsidR="000D2596">
              <w:fldChar w:fldCharType="separate"/>
            </w:r>
            <w:r w:rsidRPr="001A751E">
              <w:fldChar w:fldCharType="end"/>
            </w:r>
          </w:p>
        </w:tc>
        <w:tc>
          <w:tcPr>
            <w:tcW w:w="9214" w:type="dxa"/>
          </w:tcPr>
          <w:p w:rsidR="002C4322" w:rsidRPr="002C4322" w:rsidRDefault="002C4322" w:rsidP="00551034">
            <w:pPr>
              <w:pStyle w:val="Kopfzeile"/>
              <w:tabs>
                <w:tab w:val="clear" w:pos="4536"/>
                <w:tab w:val="clear" w:pos="9072"/>
                <w:tab w:val="left" w:pos="365"/>
              </w:tabs>
              <w:overflowPunct w:val="0"/>
              <w:autoSpaceDE w:val="0"/>
              <w:autoSpaceDN w:val="0"/>
              <w:adjustRightInd w:val="0"/>
              <w:textAlignment w:val="baseline"/>
              <w:rPr>
                <w:szCs w:val="22"/>
              </w:rPr>
            </w:pPr>
            <w:r>
              <w:rPr>
                <w:szCs w:val="22"/>
              </w:rPr>
              <w:t>Abscheidung und Speicherung von CO</w:t>
            </w:r>
            <w:r>
              <w:rPr>
                <w:szCs w:val="22"/>
                <w:vertAlign w:val="subscript"/>
              </w:rPr>
              <w:t>2</w:t>
            </w:r>
            <w:r>
              <w:rPr>
                <w:szCs w:val="22"/>
              </w:rPr>
              <w:t xml:space="preserve"> in geologischen Formationen </w:t>
            </w:r>
          </w:p>
        </w:tc>
      </w:tr>
    </w:tbl>
    <w:p w:rsidR="008D67D6" w:rsidRPr="00100264" w:rsidRDefault="008D67D6" w:rsidP="00100264"/>
    <w:tbl>
      <w:tblPr>
        <w:tblStyle w:val="Tabellengitternetz"/>
        <w:tblW w:w="9776" w:type="dxa"/>
        <w:tblBorders>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776"/>
      </w:tblGrid>
      <w:tr w:rsidR="00427DCB" w:rsidRPr="001A751E" w:rsidTr="00F35713">
        <w:tc>
          <w:tcPr>
            <w:tcW w:w="9776" w:type="dxa"/>
          </w:tcPr>
          <w:p w:rsidR="00427DCB" w:rsidRPr="00100264" w:rsidRDefault="00427DCB" w:rsidP="00100264">
            <w:pPr>
              <w:pStyle w:val="Kopfzeile"/>
              <w:tabs>
                <w:tab w:val="clear" w:pos="4536"/>
                <w:tab w:val="clear" w:pos="9072"/>
              </w:tabs>
              <w:spacing w:after="120"/>
              <w:ind w:left="397" w:hanging="397"/>
            </w:pPr>
            <w:r w:rsidRPr="00100264">
              <w:fldChar w:fldCharType="begin">
                <w:ffData>
                  <w:name w:val=""/>
                  <w:enabled/>
                  <w:calcOnExit w:val="0"/>
                  <w:checkBox>
                    <w:sizeAuto/>
                    <w:default w:val="0"/>
                    <w:checked w:val="0"/>
                  </w:checkBox>
                </w:ffData>
              </w:fldChar>
            </w:r>
            <w:r w:rsidRPr="00100264">
              <w:instrText xml:space="preserve"> FORMCHECKBOX </w:instrText>
            </w:r>
            <w:r w:rsidR="000D2596">
              <w:fldChar w:fldCharType="separate"/>
            </w:r>
            <w:r w:rsidRPr="00100264">
              <w:fldChar w:fldCharType="end"/>
            </w:r>
            <w:r w:rsidRPr="00100264">
              <w:tab/>
            </w:r>
            <w:r w:rsidRPr="00100264">
              <w:rPr>
                <w:b/>
              </w:rPr>
              <w:t>Verifizierungsstelle zur Prüfung von Treibhausgasbilanzen von Produkten</w:t>
            </w:r>
            <w:r w:rsidRPr="00100264">
              <w:t xml:space="preserve"> </w:t>
            </w:r>
            <w:r w:rsidR="00100264">
              <w:br/>
            </w:r>
            <w:r w:rsidRPr="00427DCB">
              <w:t xml:space="preserve">gemäß </w:t>
            </w:r>
            <w:r w:rsidRPr="00100264">
              <w:t xml:space="preserve">DIN EN ISO 14067:2019 Treibhausgase – Carbon Footprint von Produkten – </w:t>
            </w:r>
            <w:r w:rsidR="00100264">
              <w:br/>
            </w:r>
            <w:r w:rsidRPr="00100264">
              <w:t xml:space="preserve">Anforderungen an und Leitlinien für Quantifizierung und gemäß </w:t>
            </w:r>
            <w:r>
              <w:t>DIN EN ISO 14064-3:2020</w:t>
            </w:r>
          </w:p>
        </w:tc>
      </w:tr>
    </w:tbl>
    <w:p w:rsidR="00427DCB" w:rsidRDefault="00427DCB" w:rsidP="008D67D6">
      <w:pPr>
        <w:pStyle w:val="Kopfzeile"/>
        <w:tabs>
          <w:tab w:val="clear" w:pos="4536"/>
          <w:tab w:val="clear" w:pos="9072"/>
          <w:tab w:val="left" w:pos="365"/>
        </w:tabs>
        <w:spacing w:line="240" w:lineRule="exact"/>
        <w:rPr>
          <w:b/>
          <w:szCs w:val="22"/>
        </w:rPr>
      </w:pPr>
    </w:p>
    <w:sectPr w:rsidR="00427DCB" w:rsidSect="00100264">
      <w:headerReference w:type="even" r:id="rId8"/>
      <w:headerReference w:type="default" r:id="rId9"/>
      <w:footerReference w:type="default" r:id="rId10"/>
      <w:headerReference w:type="first" r:id="rId11"/>
      <w:pgSz w:w="11906" w:h="16838"/>
      <w:pgMar w:top="567" w:right="1134"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B0E" w:rsidRDefault="006D7B0E">
      <w:r>
        <w:separator/>
      </w:r>
    </w:p>
  </w:endnote>
  <w:endnote w:type="continuationSeparator" w:id="0">
    <w:p w:rsidR="006D7B0E" w:rsidRDefault="006D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B0E" w:rsidRPr="00375665" w:rsidRDefault="006D7B0E">
    <w:pPr>
      <w:pStyle w:val="Fuzeile"/>
    </w:pPr>
    <w:r w:rsidRPr="00100264">
      <w:rPr>
        <w:b/>
        <w:sz w:val="18"/>
      </w:rPr>
      <w:t xml:space="preserve">FO-Antrag GB_VS_Treibhausgase </w:t>
    </w:r>
    <w:r w:rsidRPr="00100264">
      <w:rPr>
        <w:sz w:val="18"/>
      </w:rPr>
      <w:t>/ Rev. 1.</w:t>
    </w:r>
    <w:r>
      <w:rPr>
        <w:sz w:val="18"/>
      </w:rPr>
      <w:t>2</w:t>
    </w:r>
    <w:r w:rsidRPr="00100264">
      <w:rPr>
        <w:sz w:val="18"/>
      </w:rPr>
      <w:t xml:space="preserve"> / </w:t>
    </w:r>
    <w:r>
      <w:rPr>
        <w:sz w:val="18"/>
      </w:rPr>
      <w:t>04</w:t>
    </w:r>
    <w:r w:rsidRPr="00100264">
      <w:rPr>
        <w:sz w:val="18"/>
      </w:rPr>
      <w:t>.</w:t>
    </w:r>
    <w:r>
      <w:rPr>
        <w:sz w:val="18"/>
      </w:rPr>
      <w:t>12</w:t>
    </w:r>
    <w:r w:rsidRPr="00100264">
      <w:rPr>
        <w:sz w:val="18"/>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B0E" w:rsidRDefault="006D7B0E">
      <w:r>
        <w:separator/>
      </w:r>
    </w:p>
  </w:footnote>
  <w:footnote w:type="continuationSeparator" w:id="0">
    <w:p w:rsidR="006D7B0E" w:rsidRDefault="006D7B0E">
      <w:r>
        <w:continuationSeparator/>
      </w:r>
    </w:p>
  </w:footnote>
  <w:footnote w:id="1">
    <w:p w:rsidR="006D7B0E" w:rsidRDefault="006D7B0E">
      <w:pPr>
        <w:pStyle w:val="Funotentext"/>
      </w:pPr>
      <w:r>
        <w:rPr>
          <w:rStyle w:val="Funotenzeichen"/>
        </w:rPr>
        <w:footnoteRef/>
      </w:r>
      <w:r>
        <w:t xml:space="preserve"> </w:t>
      </w:r>
      <w:r w:rsidRPr="00763BCF">
        <w:rPr>
          <w:sz w:val="16"/>
          <w:szCs w:val="16"/>
        </w:rPr>
        <w:t>Zutreffendes bitte ankreuzen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B0E" w:rsidRDefault="000D2596">
    <w:pPr>
      <w:pStyle w:val="Kopfzeile"/>
    </w:pPr>
    <w:r>
      <w:rPr>
        <w:noProof/>
      </w:rPr>
      <w:pict w14:anchorId="5B5F36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5357"/>
      <w:gridCol w:w="2268"/>
    </w:tblGrid>
    <w:tr w:rsidR="006D7B0E" w:rsidRPr="001A751E" w:rsidTr="00B91E98">
      <w:trPr>
        <w:trHeight w:val="170"/>
      </w:trPr>
      <w:tc>
        <w:tcPr>
          <w:tcW w:w="2151" w:type="dxa"/>
          <w:vMerge w:val="restart"/>
          <w:vAlign w:val="center"/>
        </w:tcPr>
        <w:p w:rsidR="006D7B0E" w:rsidRPr="001A751E" w:rsidRDefault="006D7B0E" w:rsidP="00100264">
          <w:pPr>
            <w:overflowPunct w:val="0"/>
            <w:autoSpaceDE w:val="0"/>
            <w:autoSpaceDN w:val="0"/>
            <w:adjustRightInd w:val="0"/>
            <w:textAlignment w:val="baseline"/>
            <w:rPr>
              <w:b/>
              <w:sz w:val="24"/>
              <w:szCs w:val="24"/>
            </w:rPr>
          </w:pPr>
          <w:r w:rsidRPr="001A751E">
            <w:rPr>
              <w:b/>
              <w:noProof/>
              <w:sz w:val="24"/>
              <w:szCs w:val="24"/>
            </w:rPr>
            <w:drawing>
              <wp:inline distT="0" distB="0" distL="0" distR="0" wp14:anchorId="6EC783D9" wp14:editId="771A04BB">
                <wp:extent cx="1228725" cy="526415"/>
                <wp:effectExtent l="0" t="0" r="0" b="0"/>
                <wp:docPr id="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26415"/>
                        </a:xfrm>
                        <a:prstGeom prst="rect">
                          <a:avLst/>
                        </a:prstGeom>
                        <a:noFill/>
                        <a:ln>
                          <a:noFill/>
                        </a:ln>
                      </pic:spPr>
                    </pic:pic>
                  </a:graphicData>
                </a:graphic>
              </wp:inline>
            </w:drawing>
          </w:r>
        </w:p>
      </w:tc>
      <w:tc>
        <w:tcPr>
          <w:tcW w:w="5357" w:type="dxa"/>
          <w:vMerge w:val="restart"/>
          <w:vAlign w:val="center"/>
        </w:tcPr>
        <w:p w:rsidR="006D7B0E" w:rsidRPr="00100264" w:rsidRDefault="006D7B0E" w:rsidP="00634132">
          <w:pPr>
            <w:overflowPunct w:val="0"/>
            <w:autoSpaceDE w:val="0"/>
            <w:autoSpaceDN w:val="0"/>
            <w:adjustRightInd w:val="0"/>
            <w:jc w:val="center"/>
            <w:textAlignment w:val="baseline"/>
            <w:rPr>
              <w:b/>
              <w:sz w:val="24"/>
              <w:szCs w:val="24"/>
            </w:rPr>
          </w:pPr>
          <w:r w:rsidRPr="00100264">
            <w:rPr>
              <w:b/>
              <w:sz w:val="24"/>
              <w:szCs w:val="24"/>
            </w:rPr>
            <w:t>Anlage zum Akkreditierungsantrag</w:t>
          </w:r>
        </w:p>
        <w:p w:rsidR="006D7B0E" w:rsidRPr="00B91E98" w:rsidRDefault="006D7B0E" w:rsidP="00634132">
          <w:pPr>
            <w:overflowPunct w:val="0"/>
            <w:autoSpaceDE w:val="0"/>
            <w:autoSpaceDN w:val="0"/>
            <w:adjustRightInd w:val="0"/>
            <w:jc w:val="center"/>
            <w:textAlignment w:val="baseline"/>
            <w:rPr>
              <w:b/>
              <w:sz w:val="21"/>
              <w:szCs w:val="21"/>
            </w:rPr>
          </w:pPr>
          <w:r w:rsidRPr="00B91E98">
            <w:rPr>
              <w:b/>
              <w:sz w:val="21"/>
              <w:szCs w:val="21"/>
            </w:rPr>
            <w:t>Validierungs-/Verifizierungsstellen für Treibhausgase nach</w:t>
          </w:r>
        </w:p>
        <w:p w:rsidR="006D7B0E" w:rsidRPr="00100264" w:rsidRDefault="006D7B0E" w:rsidP="007B51C6">
          <w:pPr>
            <w:overflowPunct w:val="0"/>
            <w:autoSpaceDE w:val="0"/>
            <w:autoSpaceDN w:val="0"/>
            <w:adjustRightInd w:val="0"/>
            <w:jc w:val="center"/>
            <w:textAlignment w:val="baseline"/>
            <w:rPr>
              <w:b/>
              <w:szCs w:val="22"/>
            </w:rPr>
          </w:pPr>
          <w:r w:rsidRPr="00B91E98">
            <w:rPr>
              <w:b/>
              <w:sz w:val="21"/>
              <w:szCs w:val="21"/>
            </w:rPr>
            <w:t>DIN EN ISO/IEC 17029:2020 mit DIN EN ISO 14065:2022</w:t>
          </w:r>
        </w:p>
      </w:tc>
      <w:tc>
        <w:tcPr>
          <w:tcW w:w="2268" w:type="dxa"/>
          <w:tcBorders>
            <w:bottom w:val="single" w:sz="4" w:space="0" w:color="auto"/>
          </w:tcBorders>
          <w:vAlign w:val="center"/>
        </w:tcPr>
        <w:p w:rsidR="006D7B0E" w:rsidRPr="00104512" w:rsidRDefault="006D7B0E" w:rsidP="00104512">
          <w:pPr>
            <w:overflowPunct w:val="0"/>
            <w:autoSpaceDE w:val="0"/>
            <w:autoSpaceDN w:val="0"/>
            <w:adjustRightInd w:val="0"/>
            <w:spacing w:before="100" w:beforeAutospacing="1" w:after="100" w:afterAutospacing="1"/>
            <w:jc w:val="center"/>
            <w:textAlignment w:val="baseline"/>
            <w:rPr>
              <w:rFonts w:cs="Arial"/>
            </w:rPr>
          </w:pPr>
          <w:r w:rsidRPr="00104512">
            <w:t xml:space="preserve">Seite </w:t>
          </w:r>
          <w:r w:rsidRPr="00104512">
            <w:fldChar w:fldCharType="begin"/>
          </w:r>
          <w:r w:rsidRPr="00104512">
            <w:instrText xml:space="preserve"> PAGE   \* MERGEFORMAT </w:instrText>
          </w:r>
          <w:r w:rsidRPr="00104512">
            <w:fldChar w:fldCharType="separate"/>
          </w:r>
          <w:r w:rsidR="000D2596">
            <w:rPr>
              <w:noProof/>
            </w:rPr>
            <w:t>3</w:t>
          </w:r>
          <w:r w:rsidRPr="00104512">
            <w:fldChar w:fldCharType="end"/>
          </w:r>
          <w:r w:rsidRPr="00104512">
            <w:t xml:space="preserve"> von </w:t>
          </w:r>
          <w:r>
            <w:rPr>
              <w:noProof/>
            </w:rPr>
            <w:fldChar w:fldCharType="begin"/>
          </w:r>
          <w:r>
            <w:rPr>
              <w:noProof/>
            </w:rPr>
            <w:instrText xml:space="preserve"> NUMPAGES   \* MERGEFORMAT </w:instrText>
          </w:r>
          <w:r>
            <w:rPr>
              <w:noProof/>
            </w:rPr>
            <w:fldChar w:fldCharType="separate"/>
          </w:r>
          <w:r w:rsidR="000D2596">
            <w:rPr>
              <w:noProof/>
            </w:rPr>
            <w:t>4</w:t>
          </w:r>
          <w:r>
            <w:rPr>
              <w:noProof/>
            </w:rPr>
            <w:fldChar w:fldCharType="end"/>
          </w:r>
        </w:p>
      </w:tc>
    </w:tr>
    <w:tr w:rsidR="006D7B0E" w:rsidRPr="001A751E" w:rsidTr="00B91E98">
      <w:trPr>
        <w:trHeight w:val="346"/>
      </w:trPr>
      <w:tc>
        <w:tcPr>
          <w:tcW w:w="2151" w:type="dxa"/>
          <w:vMerge/>
          <w:vAlign w:val="center"/>
        </w:tcPr>
        <w:p w:rsidR="006D7B0E" w:rsidRPr="00104512" w:rsidRDefault="006D7B0E" w:rsidP="00104512">
          <w:pPr>
            <w:overflowPunct w:val="0"/>
            <w:autoSpaceDE w:val="0"/>
            <w:autoSpaceDN w:val="0"/>
            <w:adjustRightInd w:val="0"/>
            <w:jc w:val="center"/>
            <w:textAlignment w:val="baseline"/>
            <w:rPr>
              <w:rFonts w:cs="Arial"/>
              <w:sz w:val="48"/>
              <w:szCs w:val="48"/>
            </w:rPr>
          </w:pPr>
        </w:p>
      </w:tc>
      <w:tc>
        <w:tcPr>
          <w:tcW w:w="5357" w:type="dxa"/>
          <w:vMerge/>
          <w:vAlign w:val="center"/>
        </w:tcPr>
        <w:p w:rsidR="006D7B0E" w:rsidRPr="00104512" w:rsidRDefault="006D7B0E" w:rsidP="00104512">
          <w:pPr>
            <w:overflowPunct w:val="0"/>
            <w:autoSpaceDE w:val="0"/>
            <w:autoSpaceDN w:val="0"/>
            <w:adjustRightInd w:val="0"/>
            <w:jc w:val="center"/>
            <w:textAlignment w:val="baseline"/>
            <w:rPr>
              <w:rFonts w:cs="Arial"/>
              <w:sz w:val="48"/>
              <w:szCs w:val="48"/>
            </w:rPr>
          </w:pPr>
        </w:p>
      </w:tc>
      <w:tc>
        <w:tcPr>
          <w:tcW w:w="2268" w:type="dxa"/>
          <w:tcBorders>
            <w:bottom w:val="nil"/>
          </w:tcBorders>
          <w:vAlign w:val="bottom"/>
        </w:tcPr>
        <w:p w:rsidR="006D7B0E" w:rsidRPr="00104512" w:rsidRDefault="006D7B0E" w:rsidP="00F76281">
          <w:pPr>
            <w:overflowPunct w:val="0"/>
            <w:autoSpaceDE w:val="0"/>
            <w:autoSpaceDN w:val="0"/>
            <w:adjustRightInd w:val="0"/>
            <w:jc w:val="center"/>
            <w:textAlignment w:val="baseline"/>
            <w:rPr>
              <w:rFonts w:cs="Arial"/>
            </w:rPr>
          </w:pPr>
          <w:r w:rsidRPr="00104512">
            <w:rPr>
              <w:rFonts w:cs="Arial"/>
            </w:rPr>
            <w:t>Verfahrensnummer:</w:t>
          </w:r>
        </w:p>
      </w:tc>
    </w:tr>
    <w:tr w:rsidR="006D7B0E" w:rsidRPr="001A751E" w:rsidTr="00B91E98">
      <w:trPr>
        <w:trHeight w:val="345"/>
      </w:trPr>
      <w:tc>
        <w:tcPr>
          <w:tcW w:w="2151" w:type="dxa"/>
          <w:vMerge/>
          <w:vAlign w:val="center"/>
        </w:tcPr>
        <w:p w:rsidR="006D7B0E" w:rsidRPr="00104512" w:rsidRDefault="006D7B0E" w:rsidP="00104512">
          <w:pPr>
            <w:overflowPunct w:val="0"/>
            <w:autoSpaceDE w:val="0"/>
            <w:autoSpaceDN w:val="0"/>
            <w:adjustRightInd w:val="0"/>
            <w:jc w:val="center"/>
            <w:textAlignment w:val="baseline"/>
            <w:rPr>
              <w:rFonts w:cs="Arial"/>
              <w:sz w:val="48"/>
              <w:szCs w:val="48"/>
            </w:rPr>
          </w:pPr>
        </w:p>
      </w:tc>
      <w:tc>
        <w:tcPr>
          <w:tcW w:w="5357" w:type="dxa"/>
          <w:vMerge/>
          <w:vAlign w:val="center"/>
        </w:tcPr>
        <w:p w:rsidR="006D7B0E" w:rsidRPr="00104512" w:rsidRDefault="006D7B0E" w:rsidP="00104512">
          <w:pPr>
            <w:overflowPunct w:val="0"/>
            <w:autoSpaceDE w:val="0"/>
            <w:autoSpaceDN w:val="0"/>
            <w:adjustRightInd w:val="0"/>
            <w:jc w:val="center"/>
            <w:textAlignment w:val="baseline"/>
            <w:rPr>
              <w:rFonts w:cs="Arial"/>
              <w:sz w:val="48"/>
              <w:szCs w:val="48"/>
            </w:rPr>
          </w:pPr>
        </w:p>
      </w:tc>
      <w:tc>
        <w:tcPr>
          <w:tcW w:w="2268" w:type="dxa"/>
          <w:tcBorders>
            <w:top w:val="nil"/>
          </w:tcBorders>
          <w:vAlign w:val="center"/>
        </w:tcPr>
        <w:p w:rsidR="006D7B0E" w:rsidRPr="00104512" w:rsidRDefault="006D7B0E" w:rsidP="00F76281">
          <w:pPr>
            <w:pStyle w:val="FVVNR"/>
            <w:jc w:val="center"/>
          </w:pPr>
          <w:r>
            <w:fldChar w:fldCharType="begin"/>
          </w:r>
          <w:r>
            <w:instrText xml:space="preserve"> STYLEREF  FV_VNR  \* MERGEFORMAT </w:instrText>
          </w:r>
          <w:r>
            <w:fldChar w:fldCharType="end"/>
          </w:r>
        </w:p>
      </w:tc>
    </w:tr>
  </w:tbl>
  <w:p w:rsidR="006D7B0E" w:rsidRDefault="006D7B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B0E" w:rsidRDefault="000D2596">
    <w:pPr>
      <w:pStyle w:val="Kopfzeile"/>
    </w:pPr>
    <w:r>
      <w:rPr>
        <w:noProof/>
      </w:rPr>
      <w:pict w14:anchorId="3C345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6412"/>
    <w:multiLevelType w:val="hybridMultilevel"/>
    <w:tmpl w:val="DF1853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26730B"/>
    <w:multiLevelType w:val="hybridMultilevel"/>
    <w:tmpl w:val="98487B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FD1BF4"/>
    <w:multiLevelType w:val="hybridMultilevel"/>
    <w:tmpl w:val="B26662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657314"/>
    <w:multiLevelType w:val="hybridMultilevel"/>
    <w:tmpl w:val="3020C810"/>
    <w:lvl w:ilvl="0" w:tplc="26642D32">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394F45"/>
    <w:multiLevelType w:val="hybridMultilevel"/>
    <w:tmpl w:val="EB68BA78"/>
    <w:lvl w:ilvl="0" w:tplc="3392C8E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C6C7547"/>
    <w:multiLevelType w:val="hybridMultilevel"/>
    <w:tmpl w:val="FF948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A1909D1"/>
    <w:multiLevelType w:val="hybridMultilevel"/>
    <w:tmpl w:val="AEE4E1EE"/>
    <w:lvl w:ilvl="0" w:tplc="1E10AB5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D1930D6"/>
    <w:multiLevelType w:val="hybridMultilevel"/>
    <w:tmpl w:val="F0BE2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57599F"/>
    <w:multiLevelType w:val="hybridMultilevel"/>
    <w:tmpl w:val="50868258"/>
    <w:lvl w:ilvl="0" w:tplc="592C3E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E94F8F"/>
    <w:multiLevelType w:val="hybridMultilevel"/>
    <w:tmpl w:val="DEA4CCF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
  </w:num>
  <w:num w:numId="5">
    <w:abstractNumId w:val="0"/>
  </w:num>
  <w:num w:numId="6">
    <w:abstractNumId w:val="2"/>
  </w:num>
  <w:num w:numId="7">
    <w:abstractNumId w:val="8"/>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F0uniXxVu7ik4rtTN+FumoblbQebyuZfbwZrrP0eRI7+w1Dec1RKOC6DuKxeJxTWhDMOppt1/D01BavNzqTQ==" w:salt="T4spgYyalldMqrwwk7eb5w=="/>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7A79"/>
    <w:rsid w:val="0001713B"/>
    <w:rsid w:val="00034C15"/>
    <w:rsid w:val="0006277B"/>
    <w:rsid w:val="0009023E"/>
    <w:rsid w:val="000958C7"/>
    <w:rsid w:val="000D2596"/>
    <w:rsid w:val="000E636F"/>
    <w:rsid w:val="00100264"/>
    <w:rsid w:val="00104512"/>
    <w:rsid w:val="00104BE6"/>
    <w:rsid w:val="00105B84"/>
    <w:rsid w:val="00110132"/>
    <w:rsid w:val="001124E7"/>
    <w:rsid w:val="0012028B"/>
    <w:rsid w:val="00151675"/>
    <w:rsid w:val="001578C5"/>
    <w:rsid w:val="001663D4"/>
    <w:rsid w:val="0017040D"/>
    <w:rsid w:val="00174DDE"/>
    <w:rsid w:val="0018740C"/>
    <w:rsid w:val="00194D80"/>
    <w:rsid w:val="00195CCE"/>
    <w:rsid w:val="001A2289"/>
    <w:rsid w:val="001A4281"/>
    <w:rsid w:val="001A751E"/>
    <w:rsid w:val="001B796B"/>
    <w:rsid w:val="001D63F8"/>
    <w:rsid w:val="001E64F2"/>
    <w:rsid w:val="002020D6"/>
    <w:rsid w:val="0021157D"/>
    <w:rsid w:val="00223AE9"/>
    <w:rsid w:val="0023386A"/>
    <w:rsid w:val="00240CA6"/>
    <w:rsid w:val="002552F1"/>
    <w:rsid w:val="00257C7E"/>
    <w:rsid w:val="00264757"/>
    <w:rsid w:val="00275C5A"/>
    <w:rsid w:val="00284985"/>
    <w:rsid w:val="00286CB8"/>
    <w:rsid w:val="00286E8F"/>
    <w:rsid w:val="00291772"/>
    <w:rsid w:val="002A39EC"/>
    <w:rsid w:val="002C4322"/>
    <w:rsid w:val="002D60E0"/>
    <w:rsid w:val="002E35DE"/>
    <w:rsid w:val="002F46DA"/>
    <w:rsid w:val="0030276B"/>
    <w:rsid w:val="00306098"/>
    <w:rsid w:val="00334DC1"/>
    <w:rsid w:val="00336718"/>
    <w:rsid w:val="00352D70"/>
    <w:rsid w:val="00375665"/>
    <w:rsid w:val="003B34A5"/>
    <w:rsid w:val="003C6FDF"/>
    <w:rsid w:val="00427DCB"/>
    <w:rsid w:val="00430601"/>
    <w:rsid w:val="00432264"/>
    <w:rsid w:val="0044597F"/>
    <w:rsid w:val="004518BE"/>
    <w:rsid w:val="00463645"/>
    <w:rsid w:val="004725FD"/>
    <w:rsid w:val="004748F5"/>
    <w:rsid w:val="00474CE5"/>
    <w:rsid w:val="0047675B"/>
    <w:rsid w:val="004C5757"/>
    <w:rsid w:val="00500E66"/>
    <w:rsid w:val="00502AE9"/>
    <w:rsid w:val="00522BF2"/>
    <w:rsid w:val="00531374"/>
    <w:rsid w:val="00531B17"/>
    <w:rsid w:val="0053492E"/>
    <w:rsid w:val="00542782"/>
    <w:rsid w:val="00547ABB"/>
    <w:rsid w:val="00551034"/>
    <w:rsid w:val="005566B4"/>
    <w:rsid w:val="00561B98"/>
    <w:rsid w:val="005663B4"/>
    <w:rsid w:val="00571626"/>
    <w:rsid w:val="00574F1F"/>
    <w:rsid w:val="005939E2"/>
    <w:rsid w:val="005B488E"/>
    <w:rsid w:val="005B6BC5"/>
    <w:rsid w:val="005B7159"/>
    <w:rsid w:val="005C61A1"/>
    <w:rsid w:val="005F2107"/>
    <w:rsid w:val="005F2BA8"/>
    <w:rsid w:val="006056BF"/>
    <w:rsid w:val="00613354"/>
    <w:rsid w:val="00622513"/>
    <w:rsid w:val="0062771F"/>
    <w:rsid w:val="00634132"/>
    <w:rsid w:val="006377E9"/>
    <w:rsid w:val="006409D3"/>
    <w:rsid w:val="00642548"/>
    <w:rsid w:val="00643D7A"/>
    <w:rsid w:val="006619E3"/>
    <w:rsid w:val="006743EE"/>
    <w:rsid w:val="006A031C"/>
    <w:rsid w:val="006B2586"/>
    <w:rsid w:val="006B6297"/>
    <w:rsid w:val="006C1BA1"/>
    <w:rsid w:val="006C2309"/>
    <w:rsid w:val="006D0B61"/>
    <w:rsid w:val="006D7B0E"/>
    <w:rsid w:val="006E24E6"/>
    <w:rsid w:val="007103FE"/>
    <w:rsid w:val="00725547"/>
    <w:rsid w:val="00733D8F"/>
    <w:rsid w:val="00733FAE"/>
    <w:rsid w:val="00735662"/>
    <w:rsid w:val="0074141C"/>
    <w:rsid w:val="00756E7A"/>
    <w:rsid w:val="00763BCF"/>
    <w:rsid w:val="0078547D"/>
    <w:rsid w:val="007A21AC"/>
    <w:rsid w:val="007A4CFC"/>
    <w:rsid w:val="007B51C6"/>
    <w:rsid w:val="007C08AE"/>
    <w:rsid w:val="007D04C3"/>
    <w:rsid w:val="007E4FA6"/>
    <w:rsid w:val="007E5A49"/>
    <w:rsid w:val="007F10CA"/>
    <w:rsid w:val="0080003B"/>
    <w:rsid w:val="0080555E"/>
    <w:rsid w:val="008126A6"/>
    <w:rsid w:val="008345F4"/>
    <w:rsid w:val="00852B05"/>
    <w:rsid w:val="008563FD"/>
    <w:rsid w:val="008A2E98"/>
    <w:rsid w:val="008B2446"/>
    <w:rsid w:val="008B4FE7"/>
    <w:rsid w:val="008C56C5"/>
    <w:rsid w:val="008D67D6"/>
    <w:rsid w:val="008D715C"/>
    <w:rsid w:val="008E3051"/>
    <w:rsid w:val="008E7232"/>
    <w:rsid w:val="00906C84"/>
    <w:rsid w:val="00912F7E"/>
    <w:rsid w:val="00914383"/>
    <w:rsid w:val="009256DF"/>
    <w:rsid w:val="00927E4F"/>
    <w:rsid w:val="0093406E"/>
    <w:rsid w:val="00954C7B"/>
    <w:rsid w:val="009564A9"/>
    <w:rsid w:val="009626D7"/>
    <w:rsid w:val="009629D7"/>
    <w:rsid w:val="00963992"/>
    <w:rsid w:val="009C5A97"/>
    <w:rsid w:val="009D1F28"/>
    <w:rsid w:val="009D3870"/>
    <w:rsid w:val="009D3D8A"/>
    <w:rsid w:val="009D4F1D"/>
    <w:rsid w:val="00A100F5"/>
    <w:rsid w:val="00A22472"/>
    <w:rsid w:val="00A27361"/>
    <w:rsid w:val="00A414CB"/>
    <w:rsid w:val="00A4553C"/>
    <w:rsid w:val="00A628EC"/>
    <w:rsid w:val="00A649F2"/>
    <w:rsid w:val="00A66DCD"/>
    <w:rsid w:val="00A9062A"/>
    <w:rsid w:val="00A97D52"/>
    <w:rsid w:val="00AD106A"/>
    <w:rsid w:val="00AF1D3A"/>
    <w:rsid w:val="00B03520"/>
    <w:rsid w:val="00B04C23"/>
    <w:rsid w:val="00B13176"/>
    <w:rsid w:val="00B15476"/>
    <w:rsid w:val="00B323A0"/>
    <w:rsid w:val="00B34034"/>
    <w:rsid w:val="00B40079"/>
    <w:rsid w:val="00B65825"/>
    <w:rsid w:val="00B73008"/>
    <w:rsid w:val="00B8147C"/>
    <w:rsid w:val="00B85053"/>
    <w:rsid w:val="00B91E98"/>
    <w:rsid w:val="00BB6868"/>
    <w:rsid w:val="00BD1F4E"/>
    <w:rsid w:val="00BD2780"/>
    <w:rsid w:val="00BE65D2"/>
    <w:rsid w:val="00C109E1"/>
    <w:rsid w:val="00C24EC3"/>
    <w:rsid w:val="00C30C0E"/>
    <w:rsid w:val="00C31239"/>
    <w:rsid w:val="00C318CD"/>
    <w:rsid w:val="00C52F60"/>
    <w:rsid w:val="00C66E81"/>
    <w:rsid w:val="00C90E86"/>
    <w:rsid w:val="00C93553"/>
    <w:rsid w:val="00CC5E27"/>
    <w:rsid w:val="00CE42D5"/>
    <w:rsid w:val="00CF72B6"/>
    <w:rsid w:val="00D27D4C"/>
    <w:rsid w:val="00D34A1E"/>
    <w:rsid w:val="00D471B7"/>
    <w:rsid w:val="00D574D3"/>
    <w:rsid w:val="00D71352"/>
    <w:rsid w:val="00D72993"/>
    <w:rsid w:val="00D81D9B"/>
    <w:rsid w:val="00DC4E3B"/>
    <w:rsid w:val="00DE3A61"/>
    <w:rsid w:val="00DF7556"/>
    <w:rsid w:val="00E072BC"/>
    <w:rsid w:val="00E0765B"/>
    <w:rsid w:val="00E171F1"/>
    <w:rsid w:val="00E20224"/>
    <w:rsid w:val="00E24F63"/>
    <w:rsid w:val="00E43A32"/>
    <w:rsid w:val="00E66A0E"/>
    <w:rsid w:val="00E77E44"/>
    <w:rsid w:val="00E8573C"/>
    <w:rsid w:val="00E90F36"/>
    <w:rsid w:val="00E9340F"/>
    <w:rsid w:val="00ED0635"/>
    <w:rsid w:val="00EE0F3F"/>
    <w:rsid w:val="00EE2420"/>
    <w:rsid w:val="00EE73F2"/>
    <w:rsid w:val="00F0124D"/>
    <w:rsid w:val="00F0483F"/>
    <w:rsid w:val="00F06352"/>
    <w:rsid w:val="00F22616"/>
    <w:rsid w:val="00F354D4"/>
    <w:rsid w:val="00F35713"/>
    <w:rsid w:val="00F51F27"/>
    <w:rsid w:val="00F56070"/>
    <w:rsid w:val="00F56348"/>
    <w:rsid w:val="00F72DAD"/>
    <w:rsid w:val="00F76281"/>
    <w:rsid w:val="00F77EF5"/>
    <w:rsid w:val="00FA6C39"/>
    <w:rsid w:val="00FB39CB"/>
    <w:rsid w:val="00FD3006"/>
    <w:rsid w:val="00FE0E76"/>
    <w:rsid w:val="00FE7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00D6169-10D9-4903-97FC-E392014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751E"/>
    <w:rPr>
      <w:rFonts w:ascii="Calibri" w:hAnsi="Calibri"/>
      <w:sz w:val="22"/>
    </w:rPr>
  </w:style>
  <w:style w:type="paragraph" w:styleId="berschrift1">
    <w:name w:val="heading 1"/>
    <w:basedOn w:val="Standard"/>
    <w:next w:val="Standard"/>
    <w:autoRedefine/>
    <w:qFormat/>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257C7E"/>
    <w:pPr>
      <w:keepNext/>
      <w:spacing w:before="240" w:after="60"/>
      <w:outlineLvl w:val="1"/>
    </w:pPr>
    <w:rPr>
      <w:rFonts w:cs="Arial"/>
      <w:b/>
      <w:bCs/>
      <w:iCs/>
      <w:szCs w:val="28"/>
    </w:rPr>
  </w:style>
  <w:style w:type="paragraph" w:styleId="berschrift3">
    <w:name w:val="heading 3"/>
    <w:basedOn w:val="Standard"/>
    <w:next w:val="Standard"/>
    <w:autoRedefine/>
    <w:qFormat/>
    <w:rsid w:val="00257C7E"/>
    <w:pPr>
      <w:keepNext/>
      <w:spacing w:before="240" w:after="60"/>
      <w:outlineLvl w:val="2"/>
    </w:pPr>
    <w:rPr>
      <w:rFonts w:cs="Arial"/>
      <w:b/>
      <w:bCs/>
      <w:i/>
      <w:szCs w:val="26"/>
    </w:rPr>
  </w:style>
  <w:style w:type="paragraph" w:styleId="berschrift4">
    <w:name w:val="heading 4"/>
    <w:basedOn w:val="Standard"/>
    <w:next w:val="Standard"/>
    <w:link w:val="berschrift4Zchn"/>
    <w:qFormat/>
    <w:rsid w:val="004748F5"/>
    <w:pPr>
      <w:keepNext/>
      <w:spacing w:before="2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rsid w:val="00A66DCD"/>
    <w:pPr>
      <w:spacing w:before="240"/>
      <w:ind w:left="709" w:hanging="709"/>
    </w:pPr>
  </w:style>
  <w:style w:type="paragraph" w:customStyle="1" w:styleId="Betrifft">
    <w:name w:val="Betrifft"/>
    <w:basedOn w:val="Standard"/>
    <w:rsid w:val="00A66DCD"/>
    <w:pPr>
      <w:spacing w:before="1440"/>
      <w:ind w:left="709" w:hanging="709"/>
    </w:pPr>
  </w:style>
  <w:style w:type="paragraph" w:customStyle="1" w:styleId="Bezug">
    <w:name w:val="Bezug"/>
    <w:basedOn w:val="Standard"/>
    <w:rsid w:val="00A66DCD"/>
    <w:pPr>
      <w:spacing w:before="240"/>
      <w:ind w:left="709" w:hanging="709"/>
    </w:pPr>
  </w:style>
  <w:style w:type="paragraph" w:customStyle="1" w:styleId="Hier">
    <w:name w:val="Hier"/>
    <w:basedOn w:val="Standard"/>
    <w:rsid w:val="00A66DCD"/>
    <w:pPr>
      <w:tabs>
        <w:tab w:val="left" w:pos="567"/>
        <w:tab w:val="left" w:pos="1021"/>
      </w:tabs>
      <w:ind w:left="1021" w:hanging="1021"/>
    </w:pPr>
  </w:style>
  <w:style w:type="paragraph" w:customStyle="1" w:styleId="yyx">
    <w:name w:val="yyx"/>
    <w:basedOn w:val="Standard"/>
    <w:rsid w:val="00A66DC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character" w:customStyle="1" w:styleId="berschrift4Zchn">
    <w:name w:val="Überschrift 4 Zchn"/>
    <w:link w:val="berschrift4"/>
    <w:rsid w:val="00E9340F"/>
    <w:rPr>
      <w:rFonts w:ascii="Arial" w:hAnsi="Arial"/>
      <w:b/>
      <w:bCs/>
      <w:lang w:val="de-DE" w:eastAsia="de-DE" w:bidi="ar-SA"/>
    </w:rPr>
  </w:style>
  <w:style w:type="paragraph" w:customStyle="1" w:styleId="CarcterCarcterChar">
    <w:name w:val="Carácter Carácter Char"/>
    <w:basedOn w:val="Standard"/>
    <w:next w:val="Standard"/>
    <w:rsid w:val="00375665"/>
    <w:pPr>
      <w:spacing w:after="160" w:line="240" w:lineRule="exact"/>
    </w:pPr>
    <w:rPr>
      <w:rFonts w:ascii="Tahoma" w:hAnsi="Tahoma"/>
      <w:sz w:val="24"/>
      <w:lang w:val="en-US" w:eastAsia="en-US"/>
    </w:rPr>
  </w:style>
  <w:style w:type="character" w:customStyle="1" w:styleId="KopfzeileZchn">
    <w:name w:val="Kopfzeile Zchn"/>
    <w:link w:val="Kopfzeile"/>
    <w:rsid w:val="00E43A32"/>
    <w:rPr>
      <w:rFonts w:ascii="Arial" w:hAnsi="Arial"/>
    </w:rPr>
  </w:style>
  <w:style w:type="paragraph" w:customStyle="1" w:styleId="CM1">
    <w:name w:val="CM1"/>
    <w:basedOn w:val="Standard"/>
    <w:next w:val="Standard"/>
    <w:uiPriority w:val="99"/>
    <w:rsid w:val="00AD106A"/>
    <w:pPr>
      <w:autoSpaceDE w:val="0"/>
      <w:autoSpaceDN w:val="0"/>
      <w:adjustRightInd w:val="0"/>
    </w:pPr>
    <w:rPr>
      <w:rFonts w:ascii="EUAlbertina" w:hAnsi="EUAlbertina"/>
      <w:sz w:val="24"/>
      <w:szCs w:val="24"/>
    </w:rPr>
  </w:style>
  <w:style w:type="paragraph" w:customStyle="1" w:styleId="CM3">
    <w:name w:val="CM3"/>
    <w:basedOn w:val="Standard"/>
    <w:next w:val="Standard"/>
    <w:uiPriority w:val="99"/>
    <w:rsid w:val="00AD106A"/>
    <w:pPr>
      <w:autoSpaceDE w:val="0"/>
      <w:autoSpaceDN w:val="0"/>
      <w:adjustRightInd w:val="0"/>
    </w:pPr>
    <w:rPr>
      <w:rFonts w:ascii="EUAlbertina" w:hAnsi="EUAlbertina"/>
      <w:sz w:val="24"/>
      <w:szCs w:val="24"/>
    </w:rPr>
  </w:style>
  <w:style w:type="paragraph" w:customStyle="1" w:styleId="doc-ti2">
    <w:name w:val="doc-ti2"/>
    <w:basedOn w:val="Standard"/>
    <w:rsid w:val="00007A79"/>
    <w:pPr>
      <w:spacing w:before="240" w:after="120" w:line="312" w:lineRule="atLeast"/>
      <w:jc w:val="center"/>
    </w:pPr>
    <w:rPr>
      <w:rFonts w:ascii="Times New Roman" w:hAnsi="Times New Roman"/>
      <w:b/>
      <w:bCs/>
      <w:sz w:val="24"/>
      <w:szCs w:val="24"/>
    </w:rPr>
  </w:style>
  <w:style w:type="paragraph" w:styleId="berarbeitung">
    <w:name w:val="Revision"/>
    <w:hidden/>
    <w:uiPriority w:val="99"/>
    <w:semiHidden/>
    <w:rsid w:val="00ED0635"/>
    <w:rPr>
      <w:rFonts w:ascii="Calibri" w:hAnsi="Calibri"/>
      <w:sz w:val="22"/>
    </w:rPr>
  </w:style>
  <w:style w:type="paragraph" w:styleId="Listenabsatz">
    <w:name w:val="List Paragraph"/>
    <w:basedOn w:val="Standard"/>
    <w:uiPriority w:val="34"/>
    <w:qFormat/>
    <w:rsid w:val="00C109E1"/>
    <w:pPr>
      <w:ind w:left="720"/>
      <w:contextualSpacing/>
    </w:pPr>
  </w:style>
  <w:style w:type="character" w:styleId="Kommentarzeichen">
    <w:name w:val="annotation reference"/>
    <w:basedOn w:val="Absatz-Standardschriftart"/>
    <w:uiPriority w:val="99"/>
    <w:semiHidden/>
    <w:unhideWhenUsed/>
    <w:rsid w:val="00C109E1"/>
    <w:rPr>
      <w:sz w:val="16"/>
      <w:szCs w:val="16"/>
    </w:rPr>
  </w:style>
  <w:style w:type="paragraph" w:styleId="Kommentartext">
    <w:name w:val="annotation text"/>
    <w:basedOn w:val="Standard"/>
    <w:link w:val="KommentartextZchn"/>
    <w:uiPriority w:val="99"/>
    <w:semiHidden/>
    <w:unhideWhenUsed/>
    <w:rsid w:val="00C109E1"/>
    <w:rPr>
      <w:sz w:val="20"/>
    </w:rPr>
  </w:style>
  <w:style w:type="character" w:customStyle="1" w:styleId="KommentartextZchn">
    <w:name w:val="Kommentartext Zchn"/>
    <w:basedOn w:val="Absatz-Standardschriftart"/>
    <w:link w:val="Kommentartext"/>
    <w:uiPriority w:val="99"/>
    <w:semiHidden/>
    <w:rsid w:val="00C109E1"/>
    <w:rPr>
      <w:rFonts w:ascii="Calibri" w:hAnsi="Calibri"/>
    </w:rPr>
  </w:style>
  <w:style w:type="paragraph" w:styleId="Kommentarthema">
    <w:name w:val="annotation subject"/>
    <w:basedOn w:val="Kommentartext"/>
    <w:next w:val="Kommentartext"/>
    <w:link w:val="KommentarthemaZchn"/>
    <w:uiPriority w:val="99"/>
    <w:semiHidden/>
    <w:unhideWhenUsed/>
    <w:rsid w:val="00C109E1"/>
    <w:rPr>
      <w:b/>
      <w:bCs/>
    </w:rPr>
  </w:style>
  <w:style w:type="character" w:customStyle="1" w:styleId="KommentarthemaZchn">
    <w:name w:val="Kommentarthema Zchn"/>
    <w:basedOn w:val="KommentartextZchn"/>
    <w:link w:val="Kommentarthema"/>
    <w:uiPriority w:val="99"/>
    <w:semiHidden/>
    <w:rsid w:val="00C109E1"/>
    <w:rPr>
      <w:rFonts w:ascii="Calibri" w:hAnsi="Calibri"/>
      <w:b/>
      <w:bCs/>
    </w:rPr>
  </w:style>
  <w:style w:type="paragraph" w:customStyle="1" w:styleId="FVVNR">
    <w:name w:val="FV_VNR"/>
    <w:basedOn w:val="Standard"/>
    <w:rsid w:val="00F76281"/>
    <w:pPr>
      <w:overflowPunct w:val="0"/>
      <w:autoSpaceDE w:val="0"/>
      <w:autoSpaceDN w:val="0"/>
      <w:adjustRightInd w:val="0"/>
      <w:spacing w:before="40" w:after="40"/>
      <w:textAlignment w:val="baseline"/>
    </w:pPr>
    <w:rPr>
      <w:b/>
      <w:sz w:val="20"/>
    </w:rPr>
  </w:style>
  <w:style w:type="table" w:styleId="Tabellenraster">
    <w:name w:val="Table Grid"/>
    <w:basedOn w:val="NormaleTabelle"/>
    <w:uiPriority w:val="59"/>
    <w:rsid w:val="00F7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FVVNR12PtVor0PtNach0Pt">
    <w:name w:val="Formatvorlage FV_VNR + 12 Pt. Vor:  0 Pt. Nach:  0 Pt."/>
    <w:basedOn w:val="FVVNR"/>
    <w:rsid w:val="00F76281"/>
    <w:pPr>
      <w:spacing w:before="0" w:after="0"/>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17543">
      <w:bodyDiv w:val="1"/>
      <w:marLeft w:val="0"/>
      <w:marRight w:val="0"/>
      <w:marTop w:val="0"/>
      <w:marBottom w:val="0"/>
      <w:divBdr>
        <w:top w:val="none" w:sz="0" w:space="0" w:color="auto"/>
        <w:left w:val="none" w:sz="0" w:space="0" w:color="auto"/>
        <w:bottom w:val="none" w:sz="0" w:space="0" w:color="auto"/>
        <w:right w:val="none" w:sz="0" w:space="0" w:color="auto"/>
      </w:divBdr>
    </w:div>
    <w:div w:id="591739971">
      <w:bodyDiv w:val="1"/>
      <w:marLeft w:val="0"/>
      <w:marRight w:val="0"/>
      <w:marTop w:val="0"/>
      <w:marBottom w:val="0"/>
      <w:divBdr>
        <w:top w:val="none" w:sz="0" w:space="0" w:color="auto"/>
        <w:left w:val="none" w:sz="0" w:space="0" w:color="auto"/>
        <w:bottom w:val="none" w:sz="0" w:space="0" w:color="auto"/>
        <w:right w:val="none" w:sz="0" w:space="0" w:color="auto"/>
      </w:divBdr>
    </w:div>
    <w:div w:id="1125344484">
      <w:bodyDiv w:val="1"/>
      <w:marLeft w:val="0"/>
      <w:marRight w:val="0"/>
      <w:marTop w:val="0"/>
      <w:marBottom w:val="0"/>
      <w:divBdr>
        <w:top w:val="none" w:sz="0" w:space="0" w:color="auto"/>
        <w:left w:val="none" w:sz="0" w:space="0" w:color="auto"/>
        <w:bottom w:val="none" w:sz="0" w:space="0" w:color="auto"/>
        <w:right w:val="none" w:sz="0" w:space="0" w:color="auto"/>
      </w:divBdr>
    </w:div>
    <w:div w:id="1185899639">
      <w:bodyDiv w:val="1"/>
      <w:marLeft w:val="0"/>
      <w:marRight w:val="0"/>
      <w:marTop w:val="0"/>
      <w:marBottom w:val="0"/>
      <w:divBdr>
        <w:top w:val="none" w:sz="0" w:space="0" w:color="auto"/>
        <w:left w:val="none" w:sz="0" w:space="0" w:color="auto"/>
        <w:bottom w:val="none" w:sz="0" w:space="0" w:color="auto"/>
        <w:right w:val="none" w:sz="0" w:space="0" w:color="auto"/>
      </w:divBdr>
    </w:div>
    <w:div w:id="1522084044">
      <w:bodyDiv w:val="1"/>
      <w:marLeft w:val="0"/>
      <w:marRight w:val="0"/>
      <w:marTop w:val="0"/>
      <w:marBottom w:val="0"/>
      <w:divBdr>
        <w:top w:val="none" w:sz="0" w:space="0" w:color="auto"/>
        <w:left w:val="none" w:sz="0" w:space="0" w:color="auto"/>
        <w:bottom w:val="none" w:sz="0" w:space="0" w:color="auto"/>
        <w:right w:val="none" w:sz="0" w:space="0" w:color="auto"/>
      </w:divBdr>
    </w:div>
    <w:div w:id="1561820926">
      <w:bodyDiv w:val="1"/>
      <w:marLeft w:val="0"/>
      <w:marRight w:val="0"/>
      <w:marTop w:val="0"/>
      <w:marBottom w:val="0"/>
      <w:divBdr>
        <w:top w:val="none" w:sz="0" w:space="0" w:color="auto"/>
        <w:left w:val="none" w:sz="0" w:space="0" w:color="auto"/>
        <w:bottom w:val="none" w:sz="0" w:space="0" w:color="auto"/>
        <w:right w:val="none" w:sz="0" w:space="0" w:color="auto"/>
      </w:divBdr>
      <w:divsChild>
        <w:div w:id="1473867836">
          <w:marLeft w:val="0"/>
          <w:marRight w:val="0"/>
          <w:marTop w:val="0"/>
          <w:marBottom w:val="0"/>
          <w:divBdr>
            <w:top w:val="none" w:sz="0" w:space="0" w:color="auto"/>
            <w:left w:val="none" w:sz="0" w:space="0" w:color="auto"/>
            <w:bottom w:val="none" w:sz="0" w:space="0" w:color="auto"/>
            <w:right w:val="none" w:sz="0" w:space="0" w:color="auto"/>
          </w:divBdr>
          <w:divsChild>
            <w:div w:id="1418479056">
              <w:marLeft w:val="0"/>
              <w:marRight w:val="0"/>
              <w:marTop w:val="0"/>
              <w:marBottom w:val="0"/>
              <w:divBdr>
                <w:top w:val="none" w:sz="0" w:space="0" w:color="auto"/>
                <w:left w:val="none" w:sz="0" w:space="0" w:color="auto"/>
                <w:bottom w:val="none" w:sz="0" w:space="0" w:color="auto"/>
                <w:right w:val="none" w:sz="0" w:space="0" w:color="auto"/>
              </w:divBdr>
              <w:divsChild>
                <w:div w:id="206114222">
                  <w:marLeft w:val="0"/>
                  <w:marRight w:val="0"/>
                  <w:marTop w:val="0"/>
                  <w:marBottom w:val="0"/>
                  <w:divBdr>
                    <w:top w:val="none" w:sz="0" w:space="0" w:color="auto"/>
                    <w:left w:val="none" w:sz="0" w:space="0" w:color="auto"/>
                    <w:bottom w:val="none" w:sz="0" w:space="0" w:color="auto"/>
                    <w:right w:val="none" w:sz="0" w:space="0" w:color="auto"/>
                  </w:divBdr>
                  <w:divsChild>
                    <w:div w:id="2131389147">
                      <w:marLeft w:val="1"/>
                      <w:marRight w:val="1"/>
                      <w:marTop w:val="0"/>
                      <w:marBottom w:val="0"/>
                      <w:divBdr>
                        <w:top w:val="none" w:sz="0" w:space="0" w:color="auto"/>
                        <w:left w:val="none" w:sz="0" w:space="0" w:color="auto"/>
                        <w:bottom w:val="none" w:sz="0" w:space="0" w:color="auto"/>
                        <w:right w:val="none" w:sz="0" w:space="0" w:color="auto"/>
                      </w:divBdr>
                      <w:divsChild>
                        <w:div w:id="1558123965">
                          <w:marLeft w:val="0"/>
                          <w:marRight w:val="0"/>
                          <w:marTop w:val="0"/>
                          <w:marBottom w:val="0"/>
                          <w:divBdr>
                            <w:top w:val="none" w:sz="0" w:space="0" w:color="auto"/>
                            <w:left w:val="none" w:sz="0" w:space="0" w:color="auto"/>
                            <w:bottom w:val="none" w:sz="0" w:space="0" w:color="auto"/>
                            <w:right w:val="none" w:sz="0" w:space="0" w:color="auto"/>
                          </w:divBdr>
                          <w:divsChild>
                            <w:div w:id="1617368678">
                              <w:marLeft w:val="0"/>
                              <w:marRight w:val="0"/>
                              <w:marTop w:val="0"/>
                              <w:marBottom w:val="360"/>
                              <w:divBdr>
                                <w:top w:val="none" w:sz="0" w:space="0" w:color="auto"/>
                                <w:left w:val="none" w:sz="0" w:space="0" w:color="auto"/>
                                <w:bottom w:val="none" w:sz="0" w:space="0" w:color="auto"/>
                                <w:right w:val="none" w:sz="0" w:space="0" w:color="auto"/>
                              </w:divBdr>
                              <w:divsChild>
                                <w:div w:id="978920116">
                                  <w:marLeft w:val="0"/>
                                  <w:marRight w:val="0"/>
                                  <w:marTop w:val="0"/>
                                  <w:marBottom w:val="0"/>
                                  <w:divBdr>
                                    <w:top w:val="none" w:sz="0" w:space="0" w:color="auto"/>
                                    <w:left w:val="none" w:sz="0" w:space="0" w:color="auto"/>
                                    <w:bottom w:val="none" w:sz="0" w:space="0" w:color="auto"/>
                                    <w:right w:val="none" w:sz="0" w:space="0" w:color="auto"/>
                                  </w:divBdr>
                                  <w:divsChild>
                                    <w:div w:id="133103651">
                                      <w:marLeft w:val="0"/>
                                      <w:marRight w:val="0"/>
                                      <w:marTop w:val="0"/>
                                      <w:marBottom w:val="0"/>
                                      <w:divBdr>
                                        <w:top w:val="none" w:sz="0" w:space="0" w:color="auto"/>
                                        <w:left w:val="none" w:sz="0" w:space="0" w:color="auto"/>
                                        <w:bottom w:val="none" w:sz="0" w:space="0" w:color="auto"/>
                                        <w:right w:val="none" w:sz="0" w:space="0" w:color="auto"/>
                                      </w:divBdr>
                                      <w:divsChild>
                                        <w:div w:id="227957723">
                                          <w:marLeft w:val="0"/>
                                          <w:marRight w:val="0"/>
                                          <w:marTop w:val="0"/>
                                          <w:marBottom w:val="0"/>
                                          <w:divBdr>
                                            <w:top w:val="none" w:sz="0" w:space="0" w:color="auto"/>
                                            <w:left w:val="none" w:sz="0" w:space="0" w:color="auto"/>
                                            <w:bottom w:val="none" w:sz="0" w:space="0" w:color="auto"/>
                                            <w:right w:val="none" w:sz="0" w:space="0" w:color="auto"/>
                                          </w:divBdr>
                                          <w:divsChild>
                                            <w:div w:id="208298905">
                                              <w:marLeft w:val="0"/>
                                              <w:marRight w:val="0"/>
                                              <w:marTop w:val="0"/>
                                              <w:marBottom w:val="0"/>
                                              <w:divBdr>
                                                <w:top w:val="none" w:sz="0" w:space="0" w:color="auto"/>
                                                <w:left w:val="none" w:sz="0" w:space="0" w:color="auto"/>
                                                <w:bottom w:val="none" w:sz="0" w:space="0" w:color="auto"/>
                                                <w:right w:val="none" w:sz="0" w:space="0" w:color="auto"/>
                                              </w:divBdr>
                                              <w:divsChild>
                                                <w:div w:id="11074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216839">
      <w:bodyDiv w:val="1"/>
      <w:marLeft w:val="0"/>
      <w:marRight w:val="0"/>
      <w:marTop w:val="0"/>
      <w:marBottom w:val="0"/>
      <w:divBdr>
        <w:top w:val="none" w:sz="0" w:space="0" w:color="auto"/>
        <w:left w:val="none" w:sz="0" w:space="0" w:color="auto"/>
        <w:bottom w:val="none" w:sz="0" w:space="0" w:color="auto"/>
        <w:right w:val="none" w:sz="0" w:space="0" w:color="auto"/>
      </w:divBdr>
      <w:divsChild>
        <w:div w:id="175077317">
          <w:marLeft w:val="0"/>
          <w:marRight w:val="0"/>
          <w:marTop w:val="0"/>
          <w:marBottom w:val="0"/>
          <w:divBdr>
            <w:top w:val="none" w:sz="0" w:space="0" w:color="auto"/>
            <w:left w:val="none" w:sz="0" w:space="0" w:color="auto"/>
            <w:bottom w:val="none" w:sz="0" w:space="0" w:color="auto"/>
            <w:right w:val="none" w:sz="0" w:space="0" w:color="auto"/>
          </w:divBdr>
          <w:divsChild>
            <w:div w:id="905721056">
              <w:marLeft w:val="0"/>
              <w:marRight w:val="0"/>
              <w:marTop w:val="0"/>
              <w:marBottom w:val="0"/>
              <w:divBdr>
                <w:top w:val="none" w:sz="0" w:space="0" w:color="auto"/>
                <w:left w:val="none" w:sz="0" w:space="0" w:color="auto"/>
                <w:bottom w:val="none" w:sz="0" w:space="0" w:color="auto"/>
                <w:right w:val="none" w:sz="0" w:space="0" w:color="auto"/>
              </w:divBdr>
              <w:divsChild>
                <w:div w:id="295372775">
                  <w:marLeft w:val="0"/>
                  <w:marRight w:val="0"/>
                  <w:marTop w:val="0"/>
                  <w:marBottom w:val="0"/>
                  <w:divBdr>
                    <w:top w:val="none" w:sz="0" w:space="0" w:color="auto"/>
                    <w:left w:val="none" w:sz="0" w:space="0" w:color="auto"/>
                    <w:bottom w:val="none" w:sz="0" w:space="0" w:color="auto"/>
                    <w:right w:val="none" w:sz="0" w:space="0" w:color="auto"/>
                  </w:divBdr>
                  <w:divsChild>
                    <w:div w:id="603808849">
                      <w:marLeft w:val="1"/>
                      <w:marRight w:val="1"/>
                      <w:marTop w:val="0"/>
                      <w:marBottom w:val="0"/>
                      <w:divBdr>
                        <w:top w:val="none" w:sz="0" w:space="0" w:color="auto"/>
                        <w:left w:val="none" w:sz="0" w:space="0" w:color="auto"/>
                        <w:bottom w:val="none" w:sz="0" w:space="0" w:color="auto"/>
                        <w:right w:val="none" w:sz="0" w:space="0" w:color="auto"/>
                      </w:divBdr>
                      <w:divsChild>
                        <w:div w:id="984696868">
                          <w:marLeft w:val="0"/>
                          <w:marRight w:val="0"/>
                          <w:marTop w:val="0"/>
                          <w:marBottom w:val="0"/>
                          <w:divBdr>
                            <w:top w:val="none" w:sz="0" w:space="0" w:color="auto"/>
                            <w:left w:val="none" w:sz="0" w:space="0" w:color="auto"/>
                            <w:bottom w:val="none" w:sz="0" w:space="0" w:color="auto"/>
                            <w:right w:val="none" w:sz="0" w:space="0" w:color="auto"/>
                          </w:divBdr>
                          <w:divsChild>
                            <w:div w:id="1468889688">
                              <w:marLeft w:val="0"/>
                              <w:marRight w:val="0"/>
                              <w:marTop w:val="0"/>
                              <w:marBottom w:val="360"/>
                              <w:divBdr>
                                <w:top w:val="none" w:sz="0" w:space="0" w:color="auto"/>
                                <w:left w:val="none" w:sz="0" w:space="0" w:color="auto"/>
                                <w:bottom w:val="none" w:sz="0" w:space="0" w:color="auto"/>
                                <w:right w:val="none" w:sz="0" w:space="0" w:color="auto"/>
                              </w:divBdr>
                              <w:divsChild>
                                <w:div w:id="201745447">
                                  <w:marLeft w:val="0"/>
                                  <w:marRight w:val="0"/>
                                  <w:marTop w:val="0"/>
                                  <w:marBottom w:val="0"/>
                                  <w:divBdr>
                                    <w:top w:val="none" w:sz="0" w:space="0" w:color="auto"/>
                                    <w:left w:val="none" w:sz="0" w:space="0" w:color="auto"/>
                                    <w:bottom w:val="none" w:sz="0" w:space="0" w:color="auto"/>
                                    <w:right w:val="none" w:sz="0" w:space="0" w:color="auto"/>
                                  </w:divBdr>
                                  <w:divsChild>
                                    <w:div w:id="266348036">
                                      <w:marLeft w:val="0"/>
                                      <w:marRight w:val="0"/>
                                      <w:marTop w:val="0"/>
                                      <w:marBottom w:val="0"/>
                                      <w:divBdr>
                                        <w:top w:val="none" w:sz="0" w:space="0" w:color="auto"/>
                                        <w:left w:val="none" w:sz="0" w:space="0" w:color="auto"/>
                                        <w:bottom w:val="none" w:sz="0" w:space="0" w:color="auto"/>
                                        <w:right w:val="none" w:sz="0" w:space="0" w:color="auto"/>
                                      </w:divBdr>
                                      <w:divsChild>
                                        <w:div w:id="1470049130">
                                          <w:marLeft w:val="0"/>
                                          <w:marRight w:val="0"/>
                                          <w:marTop w:val="0"/>
                                          <w:marBottom w:val="0"/>
                                          <w:divBdr>
                                            <w:top w:val="none" w:sz="0" w:space="0" w:color="auto"/>
                                            <w:left w:val="none" w:sz="0" w:space="0" w:color="auto"/>
                                            <w:bottom w:val="none" w:sz="0" w:space="0" w:color="auto"/>
                                            <w:right w:val="none" w:sz="0" w:space="0" w:color="auto"/>
                                          </w:divBdr>
                                          <w:divsChild>
                                            <w:div w:id="831985961">
                                              <w:marLeft w:val="0"/>
                                              <w:marRight w:val="0"/>
                                              <w:marTop w:val="0"/>
                                              <w:marBottom w:val="0"/>
                                              <w:divBdr>
                                                <w:top w:val="none" w:sz="0" w:space="0" w:color="auto"/>
                                                <w:left w:val="none" w:sz="0" w:space="0" w:color="auto"/>
                                                <w:bottom w:val="none" w:sz="0" w:space="0" w:color="auto"/>
                                                <w:right w:val="none" w:sz="0" w:space="0" w:color="auto"/>
                                              </w:divBdr>
                                              <w:divsChild>
                                                <w:div w:id="9609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459831">
      <w:bodyDiv w:val="1"/>
      <w:marLeft w:val="0"/>
      <w:marRight w:val="0"/>
      <w:marTop w:val="0"/>
      <w:marBottom w:val="0"/>
      <w:divBdr>
        <w:top w:val="none" w:sz="0" w:space="0" w:color="auto"/>
        <w:left w:val="none" w:sz="0" w:space="0" w:color="auto"/>
        <w:bottom w:val="none" w:sz="0" w:space="0" w:color="auto"/>
        <w:right w:val="none" w:sz="0" w:space="0" w:color="auto"/>
      </w:divBdr>
    </w:div>
    <w:div w:id="2094622342">
      <w:bodyDiv w:val="1"/>
      <w:marLeft w:val="0"/>
      <w:marRight w:val="0"/>
      <w:marTop w:val="0"/>
      <w:marBottom w:val="0"/>
      <w:divBdr>
        <w:top w:val="none" w:sz="0" w:space="0" w:color="auto"/>
        <w:left w:val="none" w:sz="0" w:space="0" w:color="auto"/>
        <w:bottom w:val="none" w:sz="0" w:space="0" w:color="auto"/>
        <w:right w:val="none" w:sz="0" w:space="0" w:color="auto"/>
      </w:divBdr>
    </w:div>
    <w:div w:id="2122649415">
      <w:bodyDiv w:val="1"/>
      <w:marLeft w:val="0"/>
      <w:marRight w:val="0"/>
      <w:marTop w:val="0"/>
      <w:marBottom w:val="0"/>
      <w:divBdr>
        <w:top w:val="none" w:sz="0" w:space="0" w:color="auto"/>
        <w:left w:val="none" w:sz="0" w:space="0" w:color="auto"/>
        <w:bottom w:val="none" w:sz="0" w:space="0" w:color="auto"/>
        <w:right w:val="none" w:sz="0" w:space="0" w:color="auto"/>
      </w:divBdr>
      <w:divsChild>
        <w:div w:id="821459439">
          <w:marLeft w:val="0"/>
          <w:marRight w:val="0"/>
          <w:marTop w:val="0"/>
          <w:marBottom w:val="0"/>
          <w:divBdr>
            <w:top w:val="none" w:sz="0" w:space="0" w:color="auto"/>
            <w:left w:val="none" w:sz="0" w:space="0" w:color="auto"/>
            <w:bottom w:val="none" w:sz="0" w:space="0" w:color="auto"/>
            <w:right w:val="none" w:sz="0" w:space="0" w:color="auto"/>
          </w:divBdr>
          <w:divsChild>
            <w:div w:id="628508525">
              <w:marLeft w:val="0"/>
              <w:marRight w:val="0"/>
              <w:marTop w:val="0"/>
              <w:marBottom w:val="0"/>
              <w:divBdr>
                <w:top w:val="none" w:sz="0" w:space="0" w:color="auto"/>
                <w:left w:val="none" w:sz="0" w:space="0" w:color="auto"/>
                <w:bottom w:val="none" w:sz="0" w:space="0" w:color="auto"/>
                <w:right w:val="none" w:sz="0" w:space="0" w:color="auto"/>
              </w:divBdr>
              <w:divsChild>
                <w:div w:id="983853875">
                  <w:marLeft w:val="0"/>
                  <w:marRight w:val="0"/>
                  <w:marTop w:val="0"/>
                  <w:marBottom w:val="0"/>
                  <w:divBdr>
                    <w:top w:val="none" w:sz="0" w:space="0" w:color="auto"/>
                    <w:left w:val="none" w:sz="0" w:space="0" w:color="auto"/>
                    <w:bottom w:val="none" w:sz="0" w:space="0" w:color="auto"/>
                    <w:right w:val="none" w:sz="0" w:space="0" w:color="auto"/>
                  </w:divBdr>
                  <w:divsChild>
                    <w:div w:id="303432105">
                      <w:marLeft w:val="1"/>
                      <w:marRight w:val="1"/>
                      <w:marTop w:val="0"/>
                      <w:marBottom w:val="0"/>
                      <w:divBdr>
                        <w:top w:val="none" w:sz="0" w:space="0" w:color="auto"/>
                        <w:left w:val="none" w:sz="0" w:space="0" w:color="auto"/>
                        <w:bottom w:val="none" w:sz="0" w:space="0" w:color="auto"/>
                        <w:right w:val="none" w:sz="0" w:space="0" w:color="auto"/>
                      </w:divBdr>
                      <w:divsChild>
                        <w:div w:id="1241982379">
                          <w:marLeft w:val="0"/>
                          <w:marRight w:val="0"/>
                          <w:marTop w:val="0"/>
                          <w:marBottom w:val="0"/>
                          <w:divBdr>
                            <w:top w:val="none" w:sz="0" w:space="0" w:color="auto"/>
                            <w:left w:val="none" w:sz="0" w:space="0" w:color="auto"/>
                            <w:bottom w:val="none" w:sz="0" w:space="0" w:color="auto"/>
                            <w:right w:val="none" w:sz="0" w:space="0" w:color="auto"/>
                          </w:divBdr>
                          <w:divsChild>
                            <w:div w:id="896934696">
                              <w:marLeft w:val="0"/>
                              <w:marRight w:val="0"/>
                              <w:marTop w:val="0"/>
                              <w:marBottom w:val="360"/>
                              <w:divBdr>
                                <w:top w:val="none" w:sz="0" w:space="0" w:color="auto"/>
                                <w:left w:val="none" w:sz="0" w:space="0" w:color="auto"/>
                                <w:bottom w:val="none" w:sz="0" w:space="0" w:color="auto"/>
                                <w:right w:val="none" w:sz="0" w:space="0" w:color="auto"/>
                              </w:divBdr>
                              <w:divsChild>
                                <w:div w:id="1816675164">
                                  <w:marLeft w:val="0"/>
                                  <w:marRight w:val="0"/>
                                  <w:marTop w:val="0"/>
                                  <w:marBottom w:val="0"/>
                                  <w:divBdr>
                                    <w:top w:val="none" w:sz="0" w:space="0" w:color="auto"/>
                                    <w:left w:val="none" w:sz="0" w:space="0" w:color="auto"/>
                                    <w:bottom w:val="none" w:sz="0" w:space="0" w:color="auto"/>
                                    <w:right w:val="none" w:sz="0" w:space="0" w:color="auto"/>
                                  </w:divBdr>
                                  <w:divsChild>
                                    <w:div w:id="1519857433">
                                      <w:marLeft w:val="0"/>
                                      <w:marRight w:val="0"/>
                                      <w:marTop w:val="0"/>
                                      <w:marBottom w:val="0"/>
                                      <w:divBdr>
                                        <w:top w:val="none" w:sz="0" w:space="0" w:color="auto"/>
                                        <w:left w:val="none" w:sz="0" w:space="0" w:color="auto"/>
                                        <w:bottom w:val="none" w:sz="0" w:space="0" w:color="auto"/>
                                        <w:right w:val="none" w:sz="0" w:space="0" w:color="auto"/>
                                      </w:divBdr>
                                      <w:divsChild>
                                        <w:div w:id="73743033">
                                          <w:marLeft w:val="0"/>
                                          <w:marRight w:val="0"/>
                                          <w:marTop w:val="0"/>
                                          <w:marBottom w:val="0"/>
                                          <w:divBdr>
                                            <w:top w:val="none" w:sz="0" w:space="0" w:color="auto"/>
                                            <w:left w:val="none" w:sz="0" w:space="0" w:color="auto"/>
                                            <w:bottom w:val="none" w:sz="0" w:space="0" w:color="auto"/>
                                            <w:right w:val="none" w:sz="0" w:space="0" w:color="auto"/>
                                          </w:divBdr>
                                          <w:divsChild>
                                            <w:div w:id="126313719">
                                              <w:marLeft w:val="0"/>
                                              <w:marRight w:val="0"/>
                                              <w:marTop w:val="0"/>
                                              <w:marBottom w:val="0"/>
                                              <w:divBdr>
                                                <w:top w:val="none" w:sz="0" w:space="0" w:color="auto"/>
                                                <w:left w:val="none" w:sz="0" w:space="0" w:color="auto"/>
                                                <w:bottom w:val="none" w:sz="0" w:space="0" w:color="auto"/>
                                                <w:right w:val="none" w:sz="0" w:space="0" w:color="auto"/>
                                              </w:divBdr>
                                              <w:divsChild>
                                                <w:div w:id="20546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5865-131C-495E-80E3-366710AA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7468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Anlage  1</vt:lpstr>
    </vt:vector>
  </TitlesOfParts>
  <Company>Bundesministerium für Wirtschaft und Technologie</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DAkkS</dc:creator>
  <cp:keywords/>
  <cp:lastModifiedBy>Johannsen, Juliane</cp:lastModifiedBy>
  <cp:revision>5</cp:revision>
  <cp:lastPrinted>2019-06-07T12:41:00Z</cp:lastPrinted>
  <dcterms:created xsi:type="dcterms:W3CDTF">2023-12-04T14:49:00Z</dcterms:created>
  <dcterms:modified xsi:type="dcterms:W3CDTF">2023-12-15T13:22:00Z</dcterms:modified>
</cp:coreProperties>
</file>